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framePr w:wrap="around"/>
        <w:rPr>
          <w:rFonts w:ascii="Times New Roman"/>
        </w:rPr>
      </w:pPr>
      <w:r>
        <w:rPr>
          <w:rFonts w:ascii="Times New Roman"/>
        </w:rPr>
        <w:t>ICS 67.050</w:t>
      </w:r>
    </w:p>
    <w:p>
      <w:pPr>
        <w:pStyle w:val="119"/>
        <w:framePr w:wrap="around"/>
        <w:rPr>
          <w:rFonts w:ascii="Times New Roman"/>
        </w:rPr>
      </w:pPr>
      <w:r>
        <w:rPr>
          <w:rFonts w:ascii="Times New Roman"/>
        </w:rPr>
        <w:t>CCS X 04</w:t>
      </w:r>
    </w:p>
    <w:tbl>
      <w:tblPr>
        <w:tblStyle w:val="29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2096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K4v7NUAAAAHAQAADwAAAAAAAAABACAAAAAi&#10;AAAAZHJzL2Rvd25yZXYueG1sUEsBAhQAFAAAAAgAh07iQMhJMdUNAgAAIAQAAA4AAAAAAAAAAQAg&#10;AAAAJA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106"/>
        <w:framePr w:w="6798" w:wrap="around" w:x="2760" w:y="2041"/>
        <w:rPr>
          <w:rFonts w:hAnsi="黑体"/>
          <w:sz w:val="84"/>
          <w:szCs w:val="84"/>
        </w:rPr>
      </w:pPr>
      <w:r>
        <w:rPr>
          <w:rFonts w:hint="eastAsia" w:hAnsi="黑体"/>
          <w:sz w:val="84"/>
          <w:szCs w:val="84"/>
        </w:rPr>
        <w:t>团体标准</w:t>
      </w:r>
    </w:p>
    <w:p>
      <w:pPr>
        <w:pStyle w:val="43"/>
        <w:framePr w:wrap="around"/>
        <w:rPr>
          <w:rFonts w:hAnsi="黑体"/>
        </w:rPr>
      </w:pPr>
      <w:r>
        <w:rPr>
          <w:rFonts w:hint="eastAsia" w:ascii="Times New Roman"/>
        </w:rPr>
        <w:t>T</w:t>
      </w:r>
      <w:r>
        <w:rPr>
          <w:rFonts w:ascii="Times New Roman"/>
        </w:rPr>
        <w:t>/</w:t>
      </w:r>
      <w:r>
        <w:rPr>
          <w:rFonts w:hint="eastAsia" w:ascii="Times New Roman"/>
        </w:rPr>
        <w:t>SATA</w:t>
      </w:r>
      <w:r>
        <w:rPr>
          <w:rFonts w:hAnsi="黑体"/>
        </w:rPr>
        <w:t xml:space="preserve"> XXX—2022</w:t>
      </w:r>
    </w:p>
    <w:tbl>
      <w:tblPr>
        <w:tblStyle w:val="29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framePr w:wrap="around"/>
              <w:wordWrap w:val="0"/>
              <w:ind w:right="210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Ol1ToM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43"/>
        <w:framePr w:wrap="around"/>
        <w:rPr>
          <w:rFonts w:hAnsi="黑体"/>
        </w:rPr>
      </w:pPr>
    </w:p>
    <w:p>
      <w:pPr>
        <w:pStyle w:val="43"/>
        <w:framePr w:wrap="around"/>
        <w:rPr>
          <w:rFonts w:hAnsi="黑体"/>
        </w:rPr>
      </w:pPr>
    </w:p>
    <w:p>
      <w:pPr>
        <w:pStyle w:val="74"/>
        <w:framePr w:wrap="around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蔬菜水果中氟虫腈的快速检测</w:t>
      </w:r>
    </w:p>
    <w:p>
      <w:pPr>
        <w:pStyle w:val="74"/>
        <w:framePr w:wrap="around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胶体金免疫层析法</w:t>
      </w:r>
      <w:r>
        <w:t xml:space="preserve"> </w:t>
      </w:r>
    </w:p>
    <w:p>
      <w:pPr>
        <w:pStyle w:val="75"/>
        <w:framePr w:wrap="around"/>
      </w:pPr>
      <w:r>
        <w:t xml:space="preserve">Rapid detection of fipronil residues in </w:t>
      </w:r>
      <w:r>
        <w:rPr>
          <w:rFonts w:hint="eastAsia"/>
        </w:rPr>
        <w:t>vegetables and fruits</w:t>
      </w:r>
    </w:p>
    <w:p>
      <w:pPr>
        <w:pStyle w:val="75"/>
        <w:framePr w:wrap="around"/>
      </w:pPr>
      <w:r>
        <w:t xml:space="preserve"> — colloidal gold immunochromatography</w:t>
      </w:r>
    </w:p>
    <w:p>
      <w:pPr>
        <w:pStyle w:val="76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（征求意见稿）"/>
            </w:textInput>
          </w:ffData>
        </w:fldChar>
      </w:r>
      <w:bookmarkStart w:id="0" w:name="YZBS"/>
      <w:r>
        <w:instrText xml:space="preserve"> FORMTEXT </w:instrText>
      </w:r>
      <w:r>
        <w:fldChar w:fldCharType="separate"/>
      </w:r>
      <w:r>
        <w:rPr>
          <w:rFonts w:hint="eastAsia"/>
        </w:rPr>
        <w:t>（征求意见稿）</w:t>
      </w:r>
      <w:r>
        <w:fldChar w:fldCharType="end"/>
      </w:r>
      <w:bookmarkEnd w:id="0"/>
    </w:p>
    <w:tbl>
      <w:tblPr>
        <w:tblStyle w:val="29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bG1PugkCAAAg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+GL5dYAAAAJAQAADwAAAAAAAAABACAAAAAiAAAA&#10;ZHJzL2Rvd25yZXYueG1sUEsBAhQAFAAAAAgAh07iQBxxlwg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>
      <w:pPr>
        <w:pStyle w:val="126"/>
        <w:framePr w:wrap="around" w:hAnchor="page" w:x="1336" w:y="14086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YdrPNYAAAALAQAADwAAAAAAAAABACAAAAAiAAAAZHJzL2Rv&#10;d25yZXYueG1sUEsBAhQAFAAAAAgAh07iQDdlmv3KAQAAo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7"/>
        <w:framePr w:wrap="around" w:hAnchor="page" w:x="6991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>
      <w:pPr>
        <w:pStyle w:val="107"/>
        <w:framePr w:wrap="around"/>
      </w:pPr>
      <w:r>
        <w:rPr>
          <w:rFonts w:hint="eastAsia"/>
        </w:rPr>
        <w:t>深圳市分析测试协会</w:t>
      </w:r>
      <w:r>
        <w:rPr>
          <w:rFonts w:hAnsi="黑体"/>
        </w:rPr>
        <w:t>   </w:t>
      </w:r>
      <w:r>
        <w:rPr>
          <w:rStyle w:val="69"/>
          <w:rFonts w:hint="eastAsia"/>
        </w:rPr>
        <w:t>发布</w:t>
      </w:r>
    </w:p>
    <w:p>
      <w:pPr>
        <w:pStyle w:val="21"/>
        <w:sectPr>
          <w:footerReference r:id="rId5" w:type="first"/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QeJf1wAAAAkBAAAPAAAAAAAAAAEAIAAAACIAAABkcnMvZG93&#10;bnJldi54bWxQSwECFAAUAAAACACHTuJAaX8Ks8gBAACg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6"/>
      </w:pPr>
      <w:bookmarkStart w:id="5" w:name="_Toc93438949"/>
      <w:bookmarkStart w:id="6" w:name="_Toc26175098"/>
      <w:bookmarkStart w:id="7" w:name="_Toc26542365"/>
      <w:r>
        <w:rPr>
          <w:rFonts w:hint="eastAsia"/>
        </w:rPr>
        <w:t>目</w:t>
      </w:r>
      <w:bookmarkStart w:id="8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5"/>
      <w:bookmarkEnd w:id="8"/>
    </w:p>
    <w:p>
      <w:pPr>
        <w:pStyle w:val="1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"_Toc93438949" </w:instrText>
      </w:r>
      <w:r>
        <w:fldChar w:fldCharType="separate"/>
      </w:r>
      <w:r>
        <w:rPr>
          <w:rStyle w:val="35"/>
        </w:rPr>
        <w:t>目次</w:t>
      </w:r>
      <w:r>
        <w:tab/>
      </w:r>
      <w:r>
        <w:fldChar w:fldCharType="begin"/>
      </w:r>
      <w:r>
        <w:instrText xml:space="preserve"> PAGEREF _Toc93438949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</w:p>
    <w:p>
      <w:pPr>
        <w:pStyle w:val="1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"_Toc93438950" </w:instrText>
      </w:r>
      <w:r>
        <w:fldChar w:fldCharType="separate"/>
      </w:r>
      <w:r>
        <w:rPr>
          <w:rStyle w:val="35"/>
        </w:rPr>
        <w:t>前言</w:t>
      </w:r>
      <w:r>
        <w:tab/>
      </w:r>
      <w:r>
        <w:fldChar w:fldCharType="begin"/>
      </w:r>
      <w:r>
        <w:instrText xml:space="preserve"> PAGEREF _Toc93438950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"_Toc93438951" </w:instrText>
      </w:r>
      <w:r>
        <w:fldChar w:fldCharType="separate"/>
      </w:r>
      <w:r>
        <w:rPr>
          <w:rStyle w:val="35"/>
        </w:rPr>
        <w:t>1 范围</w:t>
      </w:r>
      <w:r>
        <w:tab/>
      </w:r>
      <w:r>
        <w:fldChar w:fldCharType="begin"/>
      </w:r>
      <w:r>
        <w:instrText xml:space="preserve"> PAGEREF _Toc93438951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"_Toc93438952" </w:instrText>
      </w:r>
      <w:r>
        <w:fldChar w:fldCharType="separate"/>
      </w:r>
      <w:r>
        <w:rPr>
          <w:rStyle w:val="35"/>
        </w:rPr>
        <w:t>2 规范性引用文件</w:t>
      </w:r>
      <w:r>
        <w:tab/>
      </w:r>
      <w:r>
        <w:fldChar w:fldCharType="begin"/>
      </w:r>
      <w:r>
        <w:instrText xml:space="preserve"> PAGEREF _Toc93438952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"_Toc93438953" </w:instrText>
      </w:r>
      <w:r>
        <w:fldChar w:fldCharType="separate"/>
      </w:r>
      <w:r>
        <w:rPr>
          <w:rStyle w:val="35"/>
        </w:rPr>
        <w:t>3 原理</w:t>
      </w:r>
      <w:r>
        <w:tab/>
      </w:r>
      <w:r>
        <w:fldChar w:fldCharType="begin"/>
      </w:r>
      <w:r>
        <w:instrText xml:space="preserve"> PAGEREF _Toc93438953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"_Toc93438954" </w:instrText>
      </w:r>
      <w:r>
        <w:fldChar w:fldCharType="separate"/>
      </w:r>
      <w:r>
        <w:rPr>
          <w:rStyle w:val="35"/>
        </w:rPr>
        <w:t>4 试剂与材料</w:t>
      </w:r>
      <w:r>
        <w:tab/>
      </w:r>
      <w:r>
        <w:fldChar w:fldCharType="begin"/>
      </w:r>
      <w:r>
        <w:instrText xml:space="preserve"> PAGEREF _Toc93438954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"_Toc93438955" </w:instrText>
      </w:r>
      <w:r>
        <w:fldChar w:fldCharType="separate"/>
      </w:r>
      <w:r>
        <w:rPr>
          <w:rStyle w:val="35"/>
        </w:rPr>
        <w:t>5 仪器与设备</w:t>
      </w:r>
      <w:r>
        <w:tab/>
      </w:r>
      <w:r>
        <w:fldChar w:fldCharType="begin"/>
      </w:r>
      <w:r>
        <w:instrText xml:space="preserve"> PAGEREF _Toc93438955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"_Toc93438956" </w:instrText>
      </w:r>
      <w:r>
        <w:fldChar w:fldCharType="separate"/>
      </w:r>
      <w:r>
        <w:rPr>
          <w:rStyle w:val="35"/>
        </w:rPr>
        <w:t>6 分析步骤</w:t>
      </w:r>
      <w:r>
        <w:tab/>
      </w:r>
      <w:r>
        <w:fldChar w:fldCharType="begin"/>
      </w:r>
      <w:r>
        <w:instrText xml:space="preserve"> PAGEREF _Toc93438956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"_Toc93438957" </w:instrText>
      </w:r>
      <w:r>
        <w:fldChar w:fldCharType="separate"/>
      </w:r>
      <w:r>
        <w:rPr>
          <w:rStyle w:val="35"/>
        </w:rPr>
        <w:t>7 结果判定</w:t>
      </w:r>
      <w:r>
        <w:tab/>
      </w:r>
      <w:r>
        <w:fldChar w:fldCharType="begin"/>
      </w:r>
      <w:r>
        <w:instrText xml:space="preserve"> PAGEREF _Toc93438957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"_Toc93438958" </w:instrText>
      </w:r>
      <w:r>
        <w:fldChar w:fldCharType="separate"/>
      </w:r>
      <w:r>
        <w:rPr>
          <w:rStyle w:val="35"/>
        </w:rPr>
        <w:t>8 结论</w:t>
      </w:r>
      <w:r>
        <w:tab/>
      </w:r>
      <w:r>
        <w:fldChar w:fldCharType="begin"/>
      </w:r>
      <w:r>
        <w:instrText xml:space="preserve"> PAGEREF _Toc93438958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"_Toc93438959" </w:instrText>
      </w:r>
      <w:r>
        <w:fldChar w:fldCharType="separate"/>
      </w:r>
      <w:r>
        <w:rPr>
          <w:rStyle w:val="35"/>
        </w:rPr>
        <w:t>9 性能指标</w:t>
      </w:r>
      <w:r>
        <w:tab/>
      </w:r>
      <w:r>
        <w:fldChar w:fldCharType="begin"/>
      </w:r>
      <w:r>
        <w:instrText xml:space="preserve"> PAGEREF _Toc93438959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"_Toc93438960" </w:instrText>
      </w:r>
      <w:r>
        <w:fldChar w:fldCharType="separate"/>
      </w:r>
      <w:r>
        <w:rPr>
          <w:rStyle w:val="35"/>
        </w:rPr>
        <w:t>10 其他</w:t>
      </w:r>
      <w:r>
        <w:tab/>
      </w:r>
      <w:r>
        <w:fldChar w:fldCharType="begin"/>
      </w:r>
      <w:r>
        <w:instrText xml:space="preserve"> PAGEREF _Toc93438960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"_Toc93438961" </w:instrText>
      </w:r>
      <w:r>
        <w:fldChar w:fldCharType="separate"/>
      </w:r>
      <w:r>
        <w:rPr>
          <w:rStyle w:val="35"/>
        </w:rPr>
        <w:t>附录</w:t>
      </w:r>
      <w:r>
        <w:rPr>
          <w:rStyle w:val="35"/>
          <w:rFonts w:ascii="Times New Roman"/>
        </w:rPr>
        <w:t>A</w:t>
      </w:r>
      <w:r>
        <w:tab/>
      </w:r>
      <w:r>
        <w:fldChar w:fldCharType="begin"/>
      </w:r>
      <w:r>
        <w:instrText xml:space="preserve"> PAGEREF _Toc93438961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"_Toc93438962" </w:instrText>
      </w:r>
      <w:r>
        <w:fldChar w:fldCharType="separate"/>
      </w:r>
      <w:r>
        <w:rPr>
          <w:rStyle w:val="35"/>
          <w:rFonts w:hAnsi="宋体" w:cs="黑体"/>
        </w:rPr>
        <w:t>定性方法性能指标计算表</w:t>
      </w:r>
      <w:r>
        <w:tab/>
      </w:r>
      <w:r>
        <w:fldChar w:fldCharType="begin"/>
      </w:r>
      <w:r>
        <w:instrText xml:space="preserve"> PAGEREF _Toc93438962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1"/>
      </w:pPr>
      <w:r>
        <w:rPr>
          <w:kern w:val="2"/>
          <w:szCs w:val="21"/>
        </w:rPr>
        <w:fldChar w:fldCharType="end"/>
      </w:r>
    </w:p>
    <w:p>
      <w:pPr>
        <w:pStyle w:val="108"/>
        <w:tabs>
          <w:tab w:val="left" w:pos="490"/>
          <w:tab w:val="center" w:pos="4677"/>
        </w:tabs>
        <w:jc w:val="left"/>
      </w:pPr>
      <w:r>
        <w:tab/>
      </w:r>
      <w:r>
        <w:tab/>
      </w:r>
      <w:bookmarkStart w:id="9" w:name="_Toc93438950"/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6"/>
      <w:bookmarkEnd w:id="7"/>
      <w:bookmarkEnd w:id="9"/>
      <w:bookmarkEnd w:id="10"/>
    </w:p>
    <w:p>
      <w:pPr>
        <w:pStyle w:val="21"/>
      </w:pPr>
      <w:r>
        <w:rPr>
          <w:rFonts w:hint="eastAsia"/>
        </w:rPr>
        <w:t>本文件按照GB/T 1.1—2020《标准化工作导则</w:t>
      </w:r>
      <w:r>
        <w:t xml:space="preserve">  </w:t>
      </w:r>
      <w:r>
        <w:rPr>
          <w:rFonts w:hint="eastAsia"/>
        </w:rPr>
        <w:t>第1部分：标准化文件的结构和起草规则》的规定起草。</w:t>
      </w:r>
    </w:p>
    <w:p>
      <w:pPr>
        <w:pStyle w:val="21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1"/>
      </w:pPr>
      <w:r>
        <w:rPr>
          <w:rFonts w:hint="eastAsia"/>
        </w:rPr>
        <w:t>本文件由深圳市易瑞生物技术股份有限公司提出。</w:t>
      </w:r>
    </w:p>
    <w:p>
      <w:pPr>
        <w:pStyle w:val="21"/>
      </w:pPr>
      <w:r>
        <w:rPr>
          <w:rFonts w:hint="eastAsia"/>
        </w:rPr>
        <w:t>本文件由深圳市分析测试协会归口。</w:t>
      </w:r>
    </w:p>
    <w:p>
      <w:pPr>
        <w:pStyle w:val="21"/>
      </w:pPr>
      <w:r>
        <w:rPr>
          <w:rFonts w:hint="eastAsia"/>
        </w:rPr>
        <w:t>本文件起草单位：深圳市易瑞生物技术股份有限公司、深圳海关食品检验检疫技术中心、深圳市检验检疫科学研究院。</w:t>
      </w:r>
    </w:p>
    <w:p>
      <w:pPr>
        <w:pStyle w:val="21"/>
      </w:pPr>
      <w:r>
        <w:rPr>
          <w:rFonts w:hint="eastAsia"/>
        </w:rPr>
        <w:t>本文件主要起草人：李婷、王炳志、吕海明、付辉、张远霞、杨嘉豪、张欣欣、王雅思、李城、高荣健</w:t>
      </w:r>
      <w:bookmarkStart w:id="34" w:name="_GoBack"/>
      <w:bookmarkEnd w:id="34"/>
      <w:r>
        <w:rPr>
          <w:rFonts w:hint="eastAsia"/>
        </w:rPr>
        <w:t>。</w:t>
      </w:r>
    </w:p>
    <w:p>
      <w:pPr>
        <w:pStyle w:val="21"/>
        <w:rPr>
          <w:rFonts w:ascii="黑体"/>
        </w:rPr>
      </w:pPr>
      <w:r>
        <w:rPr>
          <w:rFonts w:hint="eastAsia"/>
        </w:rPr>
        <w:t>本文件</w:t>
      </w:r>
      <w:r>
        <w:t>为首次发布。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ind w:firstLine="420" w:firstLineChars="200"/>
        <w:jc w:val="left"/>
        <w:rPr>
          <w:rFonts w:ascii="宋体" w:hAnsi="宋体" w:cs="宋体"/>
          <w:szCs w:val="21"/>
        </w:rPr>
        <w:sectPr>
          <w:headerReference r:id="rId6" w:type="default"/>
          <w:footerReference r:id="rId7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</w:p>
    <w:p>
      <w:pPr>
        <w:pStyle w:val="46"/>
        <w:outlineLvl w:val="9"/>
      </w:pPr>
      <w:r>
        <w:rPr>
          <w:rFonts w:hint="eastAsia"/>
        </w:rPr>
        <w:t>蔬菜水果中氟虫腈的快速检测 胶体金免疫层析法</w:t>
      </w:r>
    </w:p>
    <w:p>
      <w:pPr>
        <w:pStyle w:val="41"/>
      </w:pPr>
      <w:bookmarkStart w:id="11" w:name="_Toc26542367"/>
      <w:bookmarkStart w:id="12" w:name="_Toc93438951"/>
      <w:bookmarkStart w:id="13" w:name="_Toc26175100"/>
      <w:r>
        <w:rPr>
          <w:rFonts w:hint="eastAsia"/>
        </w:rPr>
        <w:t>范围</w:t>
      </w:r>
      <w:bookmarkEnd w:id="11"/>
      <w:bookmarkEnd w:id="12"/>
      <w:bookmarkEnd w:id="13"/>
    </w:p>
    <w:p>
      <w:pPr>
        <w:pStyle w:val="21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本文件规定了</w:t>
      </w:r>
      <w:r>
        <w:rPr>
          <w:rFonts w:hint="eastAsia"/>
        </w:rPr>
        <w:t>蔬菜水果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中氟虫腈的胶体金免疫层析快速检测的原理、试剂与材料、仪器与设备、分析步骤、结果判定、结论、性能指标。</w:t>
      </w:r>
    </w:p>
    <w:p>
      <w:pPr>
        <w:pStyle w:val="21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本文件适用于</w:t>
      </w:r>
      <w:r>
        <w:rPr>
          <w:rFonts w:hint="eastAsia"/>
        </w:rPr>
        <w:t>蔬菜水果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中氟虫腈残留的快速筛选检验。</w:t>
      </w:r>
    </w:p>
    <w:p>
      <w:pPr>
        <w:pStyle w:val="41"/>
      </w:pPr>
      <w:bookmarkStart w:id="14" w:name="_Toc93438952"/>
      <w:bookmarkStart w:id="15" w:name="_Toc26175101"/>
      <w:bookmarkStart w:id="16" w:name="_Toc26542368"/>
      <w:r>
        <w:rPr>
          <w:rFonts w:hint="eastAsia"/>
        </w:rPr>
        <w:t>规范性引用文件</w:t>
      </w:r>
      <w:bookmarkEnd w:id="14"/>
      <w:bookmarkEnd w:id="15"/>
      <w:bookmarkEnd w:id="16"/>
    </w:p>
    <w:p>
      <w:pPr>
        <w:pStyle w:val="21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GB/T 6682  分析实验室用水规格和实验方法</w:t>
      </w:r>
    </w:p>
    <w:p>
      <w:pPr>
        <w:pStyle w:val="21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食药监办科[2017]43号  食品快速检测方法评价技术规范</w:t>
      </w:r>
    </w:p>
    <w:p>
      <w:pPr>
        <w:pStyle w:val="41"/>
      </w:pPr>
      <w:bookmarkStart w:id="17" w:name="_Toc93438953"/>
      <w:r>
        <w:rPr>
          <w:rFonts w:hint="eastAsia"/>
        </w:rPr>
        <w:t>原理</w:t>
      </w:r>
      <w:bookmarkEnd w:id="17"/>
    </w:p>
    <w:p>
      <w:pPr>
        <w:pStyle w:val="21"/>
      </w:pPr>
      <w:r>
        <w:rPr>
          <w:rFonts w:hint="eastAsia"/>
        </w:rPr>
        <w:t>本方法采用竞争抑制免疫层析原理。样品中的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/>
        </w:rPr>
        <w:t>经提取后与胶体金标记的特异性抗体结合，抑制了抗体和试纸条中检测线（T线）上抗原的结合，从而导致检测线（T线）颜色深浅的变化。通过检测线（T线）与质控线（C线）颜色深浅比较，对样品中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/>
        </w:rPr>
        <w:t>进行定性判定。</w:t>
      </w:r>
    </w:p>
    <w:p>
      <w:pPr>
        <w:pStyle w:val="41"/>
      </w:pPr>
      <w:bookmarkStart w:id="18" w:name="_Toc93438954"/>
      <w:r>
        <w:rPr>
          <w:rFonts w:hint="eastAsia"/>
        </w:rPr>
        <w:t>试剂与材料</w:t>
      </w:r>
      <w:bookmarkEnd w:id="18"/>
    </w:p>
    <w:p>
      <w:pPr>
        <w:pStyle w:val="38"/>
      </w:pPr>
      <w:r>
        <w:rPr>
          <w:rFonts w:hint="eastAsia"/>
        </w:rPr>
        <w:t>试剂</w:t>
      </w:r>
    </w:p>
    <w:p>
      <w:pPr>
        <w:pStyle w:val="21"/>
      </w:pPr>
      <w:r>
        <w:rPr>
          <w:rFonts w:hint="eastAsia"/>
        </w:rPr>
        <w:t>除另有说明外，所有试剂均为分析纯，实验室用水应符合GB/T 6682中二级水的要求。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氯化钠（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NaCl）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4.1.2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十二水合磷酸氢二钠（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·12H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二水合磷酸二氢钠（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4.1.4</w:t>
      </w:r>
      <w:r>
        <w:rPr>
          <w:rFonts w:hint="eastAsia"/>
          <w:szCs w:val="21"/>
        </w:rPr>
        <w:t xml:space="preserve">  丙酮（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COCH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）。</w:t>
      </w:r>
    </w:p>
    <w:p>
      <w:pPr>
        <w:pStyle w:val="38"/>
      </w:pPr>
      <w:r>
        <w:t>试剂</w:t>
      </w:r>
      <w:r>
        <w:rPr>
          <w:rFonts w:hint="eastAsia"/>
        </w:rPr>
        <w:t>配制</w:t>
      </w:r>
    </w:p>
    <w:p>
      <w:pPr>
        <w:spacing w:line="320" w:lineRule="exact"/>
        <w:ind w:firstLine="420" w:firstLineChars="200"/>
        <w:rPr>
          <w:szCs w:val="22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</w:t>
      </w:r>
      <w:r>
        <w:t xml:space="preserve">0.1 </w:t>
      </w:r>
      <w:r>
        <w:rPr>
          <w:rFonts w:hint="eastAsia"/>
        </w:rPr>
        <w:t>m</w:t>
      </w:r>
      <w:r>
        <w:t>mo</w:t>
      </w:r>
      <w:r>
        <w:rPr>
          <w:rFonts w:hint="eastAsia"/>
        </w:rPr>
        <w:t>l</w:t>
      </w:r>
      <w:r>
        <w:t>/L磷酸盐缓冲溶液</w:t>
      </w:r>
      <w:r>
        <w:rPr>
          <w:rFonts w:hint="eastAsia"/>
        </w:rPr>
        <w:t>，pH值为8.0</w:t>
      </w:r>
      <w:r>
        <w:rPr>
          <w:szCs w:val="21"/>
        </w:rPr>
        <w:t>)</w:t>
      </w:r>
      <w:r>
        <w:t>：准确称取</w:t>
      </w:r>
      <w:r>
        <w:rPr>
          <w:szCs w:val="22"/>
        </w:rPr>
        <w:t>氯化钠</w:t>
      </w:r>
      <w:r>
        <w:rPr>
          <w:szCs w:val="21"/>
        </w:rPr>
        <w:t>(</w:t>
      </w:r>
      <w:r>
        <w:rPr>
          <w:szCs w:val="22"/>
        </w:rPr>
        <w:t>4.1.1</w:t>
      </w:r>
      <w:r>
        <w:rPr>
          <w:szCs w:val="21"/>
        </w:rPr>
        <w:t>)</w:t>
      </w:r>
      <w:r>
        <w:t>9 g、十二水合磷酸氢二钠</w:t>
      </w:r>
      <w:r>
        <w:rPr>
          <w:szCs w:val="21"/>
        </w:rPr>
        <w:t>(</w:t>
      </w:r>
      <w:r>
        <w:rPr>
          <w:szCs w:val="22"/>
        </w:rPr>
        <w:t>4.1.2</w:t>
      </w:r>
      <w:r>
        <w:rPr>
          <w:szCs w:val="21"/>
        </w:rPr>
        <w:t>)</w:t>
      </w:r>
      <w:r>
        <w:t>6 g、二水合磷酸二氢钠</w:t>
      </w:r>
      <w:r>
        <w:rPr>
          <w:szCs w:val="21"/>
        </w:rPr>
        <w:t>(</w:t>
      </w:r>
      <w:r>
        <w:rPr>
          <w:szCs w:val="22"/>
        </w:rPr>
        <w:t>4.1.3</w:t>
      </w:r>
      <w:r>
        <w:rPr>
          <w:szCs w:val="21"/>
        </w:rPr>
        <w:t>)</w:t>
      </w:r>
      <w:r>
        <w:t>0.4 g，</w:t>
      </w:r>
      <w:r>
        <w:rPr>
          <w:rFonts w:hint="eastAsia"/>
          <w:szCs w:val="22"/>
        </w:rPr>
        <w:t>用水</w:t>
      </w:r>
      <w:r>
        <w:rPr>
          <w:szCs w:val="22"/>
        </w:rPr>
        <w:t>溶解</w:t>
      </w:r>
      <w:r>
        <w:rPr>
          <w:rFonts w:hint="eastAsia"/>
          <w:szCs w:val="22"/>
        </w:rPr>
        <w:t>并</w:t>
      </w:r>
      <w:r>
        <w:rPr>
          <w:szCs w:val="22"/>
        </w:rPr>
        <w:t>定容至100 mL，即为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2"/>
        </w:rPr>
        <w:t>。或使用胶体金免疫层析检测试剂盒专用</w:t>
      </w:r>
      <w:r>
        <w:rPr>
          <w:rFonts w:hint="eastAsia"/>
          <w:szCs w:val="22"/>
        </w:rPr>
        <w:t>缓冲液</w:t>
      </w:r>
      <w:r>
        <w:rPr>
          <w:szCs w:val="22"/>
        </w:rPr>
        <w:t>。</w:t>
      </w:r>
    </w:p>
    <w:p>
      <w:pPr>
        <w:pStyle w:val="38"/>
        <w:numPr>
          <w:ilvl w:val="1"/>
          <w:numId w:val="19"/>
        </w:numPr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hAnsi="黑体"/>
          <w:color w:val="000000" w:themeColor="text1"/>
          <w14:textFill>
            <w14:solidFill>
              <w14:schemeClr w14:val="tx1"/>
            </w14:solidFill>
          </w14:textFill>
        </w:rPr>
        <w:t>参考物质</w:t>
      </w:r>
    </w:p>
    <w:p>
      <w:pPr>
        <w:adjustRightInd w:val="0"/>
        <w:snapToGrid w:val="0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中文名称、英文名称、CAS登录号、分子式、相对分子量见表1，纯度≥9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%。</w:t>
      </w:r>
    </w:p>
    <w:p>
      <w:pPr>
        <w:pStyle w:val="98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 xml:space="preserve">表1  </w:t>
      </w:r>
      <w:r>
        <w:rPr>
          <w:rFonts w:hint="eastAsia"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参考</w:t>
      </w: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物质信息表</w:t>
      </w:r>
    </w:p>
    <w:tbl>
      <w:tblPr>
        <w:tblStyle w:val="29"/>
        <w:tblW w:w="83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2160"/>
        <w:gridCol w:w="1572"/>
        <w:gridCol w:w="1567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509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2160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英文名称</w:t>
            </w:r>
          </w:p>
        </w:tc>
        <w:tc>
          <w:tcPr>
            <w:tcW w:w="1572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CAS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登录号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分子式</w:t>
            </w:r>
          </w:p>
        </w:tc>
        <w:tc>
          <w:tcPr>
            <w:tcW w:w="1581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相对分子量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氟虫腈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ipronil</w:t>
            </w:r>
          </w:p>
        </w:tc>
        <w:tc>
          <w:tcPr>
            <w:tcW w:w="1572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120068-37-3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12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H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4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Cl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2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6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N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4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OS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437.2</w:t>
            </w:r>
          </w:p>
        </w:tc>
      </w:tr>
    </w:tbl>
    <w:p>
      <w:pPr>
        <w:ind w:left="142" w:firstLine="3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或等同可溯源物质。</w:t>
      </w:r>
    </w:p>
    <w:p>
      <w:pPr>
        <w:pStyle w:val="38"/>
      </w:pPr>
      <w:r>
        <w:rPr>
          <w:rFonts w:hint="eastAsia"/>
        </w:rPr>
        <w:t>标准溶液配制</w:t>
      </w:r>
    </w:p>
    <w:p>
      <w:pPr>
        <w:pStyle w:val="42"/>
        <w:numPr>
          <w:ilvl w:val="0"/>
          <w:numId w:val="0"/>
        </w:numPr>
        <w:spacing w:before="156" w:after="156"/>
        <w:outlineLvl w:val="9"/>
        <w:rPr>
          <w:rFonts w:ascii="Times New Roman" w:eastAsia="宋体"/>
        </w:rPr>
      </w:pPr>
      <w:r>
        <w:rPr>
          <w:rFonts w:hint="eastAsia" w:hAnsi="黑体" w:cs="黑体"/>
        </w:rPr>
        <w:t>4.4.1</w:t>
      </w:r>
      <w:r>
        <w:rPr>
          <w:rFonts w:ascii="Times New Roman" w:hAnsi="宋体" w:eastAsia="宋体"/>
        </w:rPr>
        <w:t xml:space="preserve">  </w:t>
      </w:r>
      <w:r>
        <w:rPr>
          <w:rFonts w:hint="eastAsia" w:ascii="Times New Roman" w:hAnsi="宋体" w:eastAsia="宋体"/>
        </w:rPr>
        <w:t xml:space="preserve">氟虫腈标准储备液（100 </w:t>
      </w:r>
      <w:r>
        <w:rPr>
          <w:rFonts w:ascii="Times New Roman" w:eastAsia="宋体"/>
        </w:rPr>
        <w:t>μ</w:t>
      </w:r>
      <w:r>
        <w:rPr>
          <w:rFonts w:hint="eastAsia" w:ascii="Times New Roman" w:hAnsi="宋体" w:eastAsia="宋体"/>
        </w:rPr>
        <w:t>g/mL）：精密称取氟虫腈参考物质（4.</w:t>
      </w:r>
      <w:r>
        <w:rPr>
          <w:rFonts w:ascii="Times New Roman" w:hAnsi="宋体" w:eastAsia="宋体"/>
        </w:rPr>
        <w:t>3</w:t>
      </w:r>
      <w:r>
        <w:rPr>
          <w:rFonts w:hint="eastAsia" w:ascii="Times New Roman" w:hAnsi="宋体" w:eastAsia="宋体"/>
        </w:rPr>
        <w:t xml:space="preserve">）1 mg，置于10 mL容量瓶中，用丙酮（4.1.4）溶解并稀释至刻度，摇匀，制成浓度为100 </w:t>
      </w:r>
      <w:r>
        <w:rPr>
          <w:rFonts w:ascii="Times New Roman" w:eastAsia="宋体"/>
        </w:rPr>
        <w:t>μ</w:t>
      </w:r>
      <w:r>
        <w:rPr>
          <w:rFonts w:hint="eastAsia" w:ascii="Times New Roman" w:hAnsi="宋体" w:eastAsia="宋体"/>
        </w:rPr>
        <w:t>g/mL的氟虫腈标准储备液。或可直接购买氟虫腈标准储备液。</w:t>
      </w:r>
      <w:r>
        <w:rPr>
          <w:rFonts w:hint="eastAsia" w:eastAsia="宋体"/>
        </w:rPr>
        <w:t>-</w:t>
      </w:r>
      <w:r>
        <w:rPr>
          <w:rFonts w:ascii="Times New Roman" w:hAnsi="宋体" w:eastAsia="宋体"/>
        </w:rPr>
        <w:t>18</w:t>
      </w:r>
      <w:r>
        <w:rPr>
          <w:rFonts w:hint="eastAsia" w:ascii="Times New Roman" w:hAnsi="宋体" w:eastAsia="宋体"/>
        </w:rPr>
        <w:t>℃避光保存，有效期6个月</w:t>
      </w:r>
      <w:r>
        <w:rPr>
          <w:rFonts w:hint="eastAsia" w:ascii="Times New Roman" w:eastAsia="宋体"/>
        </w:rPr>
        <w:t>。</w:t>
      </w:r>
    </w:p>
    <w:p>
      <w:pPr>
        <w:pStyle w:val="21"/>
        <w:autoSpaceDE/>
        <w:autoSpaceDN/>
        <w:spacing w:before="156" w:beforeLines="50" w:after="156" w:afterLines="50"/>
        <w:ind w:firstLine="0" w:firstLineChars="0"/>
        <w:rPr>
          <w:rFonts w:ascii="Times New Roman"/>
        </w:rPr>
      </w:pPr>
      <w:r>
        <w:rPr>
          <w:rFonts w:hint="eastAsia" w:ascii="黑体" w:hAnsi="黑体" w:eastAsia="黑体" w:cs="黑体"/>
          <w:szCs w:val="21"/>
        </w:rPr>
        <w:t>4.4.2</w:t>
      </w:r>
      <w:r>
        <w:rPr>
          <w:rFonts w:ascii="Times New Roman" w:hAnsi="宋体"/>
          <w:szCs w:val="21"/>
        </w:rPr>
        <w:t xml:space="preserve">  </w:t>
      </w:r>
      <w:r>
        <w:rPr>
          <w:rFonts w:hint="eastAsia" w:ascii="Times New Roman" w:hAnsi="宋体"/>
        </w:rPr>
        <w:t>氟虫腈</w:t>
      </w:r>
      <w:r>
        <w:rPr>
          <w:rFonts w:ascii="Times New Roman"/>
        </w:rPr>
        <w:t>标准</w:t>
      </w:r>
      <w:r>
        <w:rPr>
          <w:rFonts w:hint="eastAsia" w:ascii="Times New Roman"/>
        </w:rPr>
        <w:t>中间</w:t>
      </w:r>
      <w:r>
        <w:rPr>
          <w:rFonts w:ascii="Times New Roman"/>
        </w:rPr>
        <w:t>液（1</w:t>
      </w:r>
      <w:r>
        <w:rPr>
          <w:rFonts w:hint="eastAsia" w:ascii="Times New Roman"/>
        </w:rPr>
        <w:t>0</w:t>
      </w:r>
      <w:r>
        <w:rPr>
          <w:rFonts w:ascii="Times New Roman"/>
        </w:rPr>
        <w:t xml:space="preserve"> μg/mL）：精密量取</w:t>
      </w:r>
      <w:r>
        <w:rPr>
          <w:rFonts w:hint="eastAsia" w:ascii="Times New Roman" w:hAnsi="宋体"/>
        </w:rPr>
        <w:t>氟虫腈</w:t>
      </w:r>
      <w:r>
        <w:rPr>
          <w:rFonts w:ascii="Times New Roman"/>
        </w:rPr>
        <w:t>标准储备液（</w:t>
      </w:r>
      <w:r>
        <w:rPr>
          <w:rFonts w:hint="eastAsia" w:ascii="Times New Roman" w:hAnsi="宋体"/>
        </w:rPr>
        <w:t xml:space="preserve">100 </w:t>
      </w:r>
      <w:r>
        <w:rPr>
          <w:rFonts w:ascii="Times New Roman"/>
        </w:rPr>
        <w:t>μ</w:t>
      </w:r>
      <w:r>
        <w:rPr>
          <w:rFonts w:hint="eastAsia" w:ascii="Times New Roman" w:hAnsi="宋体"/>
        </w:rPr>
        <w:t>g/mL</w:t>
      </w:r>
      <w:r>
        <w:rPr>
          <w:rFonts w:ascii="Times New Roman"/>
        </w:rPr>
        <w:t>）（</w:t>
      </w:r>
      <w:r>
        <w:rPr>
          <w:rFonts w:hint="eastAsia" w:ascii="Times New Roman"/>
        </w:rPr>
        <w:t>4.</w:t>
      </w:r>
      <w:r>
        <w:rPr>
          <w:rFonts w:ascii="Times New Roman"/>
        </w:rPr>
        <w:t>4</w:t>
      </w:r>
      <w:r>
        <w:rPr>
          <w:rFonts w:hint="eastAsia" w:ascii="Times New Roman"/>
        </w:rPr>
        <w:t>.1</w:t>
      </w:r>
      <w:r>
        <w:rPr>
          <w:rFonts w:ascii="Times New Roman"/>
        </w:rPr>
        <w:t>）1 mL，置于10 mL容量瓶中，用</w:t>
      </w:r>
      <w:r>
        <w:rPr>
          <w:rFonts w:hint="eastAsia" w:ascii="Times New Roman" w:hAnsi="宋体"/>
        </w:rPr>
        <w:t>丙酮（4.1.4）</w:t>
      </w:r>
      <w:r>
        <w:rPr>
          <w:rFonts w:ascii="Times New Roman"/>
        </w:rPr>
        <w:t>稀释至刻度，摇匀，制成</w:t>
      </w:r>
      <w:r>
        <w:rPr>
          <w:rFonts w:hint="eastAsia" w:ascii="Times New Roman"/>
        </w:rPr>
        <w:t>浓度为</w:t>
      </w:r>
      <w:r>
        <w:rPr>
          <w:rFonts w:ascii="Times New Roman"/>
        </w:rPr>
        <w:t xml:space="preserve"> 1</w:t>
      </w:r>
      <w:r>
        <w:rPr>
          <w:rFonts w:hint="eastAsia" w:ascii="Times New Roman"/>
        </w:rPr>
        <w:t>0</w:t>
      </w:r>
      <w:r>
        <w:rPr>
          <w:rFonts w:ascii="Times New Roman"/>
        </w:rPr>
        <w:t xml:space="preserve"> μg/mL的</w:t>
      </w:r>
      <w:r>
        <w:rPr>
          <w:rFonts w:hint="eastAsia" w:ascii="Times New Roman" w:hAnsi="宋体"/>
        </w:rPr>
        <w:t>氟虫腈</w:t>
      </w:r>
      <w:r>
        <w:rPr>
          <w:rFonts w:ascii="Times New Roman"/>
        </w:rPr>
        <w:t>标准</w:t>
      </w:r>
      <w:r>
        <w:rPr>
          <w:rFonts w:hint="eastAsia" w:ascii="Times New Roman"/>
        </w:rPr>
        <w:t>中间</w:t>
      </w:r>
      <w:r>
        <w:rPr>
          <w:rFonts w:ascii="Times New Roman"/>
        </w:rPr>
        <w:t>液。4℃避光保存，有效期3个月。</w:t>
      </w:r>
    </w:p>
    <w:p>
      <w:pPr>
        <w:pStyle w:val="21"/>
        <w:autoSpaceDE/>
        <w:autoSpaceDN/>
        <w:spacing w:before="156" w:beforeLines="50" w:after="156" w:afterLines="50"/>
        <w:ind w:firstLine="0" w:firstLineChars="0"/>
        <w:rPr>
          <w:rFonts w:ascii="Times New Roman"/>
        </w:rPr>
      </w:pPr>
      <w:r>
        <w:rPr>
          <w:rFonts w:hint="eastAsia" w:ascii="黑体" w:hAnsi="黑体" w:eastAsia="黑体" w:cs="黑体"/>
          <w:szCs w:val="21"/>
        </w:rPr>
        <w:t>4.4.3</w:t>
      </w:r>
      <w:r>
        <w:rPr>
          <w:rFonts w:ascii="Times New Roman" w:hAnsi="宋体"/>
          <w:szCs w:val="21"/>
        </w:rPr>
        <w:t xml:space="preserve">  </w:t>
      </w:r>
      <w:r>
        <w:rPr>
          <w:rFonts w:hint="eastAsia" w:ascii="Times New Roman" w:hAnsi="宋体"/>
        </w:rPr>
        <w:t>氟虫腈</w:t>
      </w:r>
      <w:r>
        <w:rPr>
          <w:rFonts w:ascii="Times New Roman"/>
        </w:rPr>
        <w:t>标准</w:t>
      </w:r>
      <w:r>
        <w:rPr>
          <w:rFonts w:hint="eastAsia" w:ascii="Times New Roman"/>
        </w:rPr>
        <w:t>工作</w:t>
      </w:r>
      <w:r>
        <w:rPr>
          <w:rFonts w:ascii="Times New Roman"/>
        </w:rPr>
        <w:t>液（1 μg/mL）：精密量取</w:t>
      </w:r>
      <w:r>
        <w:rPr>
          <w:rFonts w:hint="eastAsia" w:ascii="Times New Roman" w:hAnsi="宋体"/>
        </w:rPr>
        <w:t>氟虫腈</w:t>
      </w:r>
      <w:r>
        <w:rPr>
          <w:rFonts w:ascii="Times New Roman"/>
        </w:rPr>
        <w:t>标准</w:t>
      </w:r>
      <w:r>
        <w:rPr>
          <w:rFonts w:hint="eastAsia" w:ascii="Times New Roman"/>
        </w:rPr>
        <w:t>中间</w:t>
      </w:r>
      <w:r>
        <w:rPr>
          <w:rFonts w:ascii="Times New Roman"/>
        </w:rPr>
        <w:t>液（</w:t>
      </w:r>
      <w:r>
        <w:rPr>
          <w:rFonts w:hint="eastAsia" w:ascii="Times New Roman" w:hAnsi="宋体"/>
        </w:rPr>
        <w:t xml:space="preserve">10 </w:t>
      </w:r>
      <w:r>
        <w:rPr>
          <w:rFonts w:ascii="Times New Roman"/>
        </w:rPr>
        <w:t>μ</w:t>
      </w:r>
      <w:r>
        <w:rPr>
          <w:rFonts w:hint="eastAsia" w:ascii="Times New Roman" w:hAnsi="宋体"/>
        </w:rPr>
        <w:t>g/mL</w:t>
      </w:r>
      <w:r>
        <w:rPr>
          <w:rFonts w:ascii="Times New Roman"/>
        </w:rPr>
        <w:t>）（</w:t>
      </w:r>
      <w:r>
        <w:rPr>
          <w:rFonts w:hint="eastAsia" w:ascii="Times New Roman"/>
        </w:rPr>
        <w:t>4.</w:t>
      </w:r>
      <w:r>
        <w:rPr>
          <w:rFonts w:ascii="Times New Roman"/>
        </w:rPr>
        <w:t>4</w:t>
      </w:r>
      <w:r>
        <w:rPr>
          <w:rFonts w:hint="eastAsia" w:ascii="Times New Roman"/>
        </w:rPr>
        <w:t>.2</w:t>
      </w:r>
      <w:r>
        <w:rPr>
          <w:rFonts w:ascii="Times New Roman"/>
        </w:rPr>
        <w:t>）1 mL，置于10 mL容量瓶中，用</w:t>
      </w:r>
      <w:r>
        <w:rPr>
          <w:rFonts w:hint="eastAsia" w:ascii="Times New Roman" w:hAnsi="宋体"/>
        </w:rPr>
        <w:t>丙酮（4.1.4）</w:t>
      </w:r>
      <w:r>
        <w:rPr>
          <w:rFonts w:ascii="Times New Roman"/>
        </w:rPr>
        <w:t>稀释至刻度，摇匀，制成</w:t>
      </w:r>
      <w:r>
        <w:rPr>
          <w:rFonts w:hint="eastAsia" w:ascii="Times New Roman"/>
        </w:rPr>
        <w:t>浓度为</w:t>
      </w:r>
      <w:r>
        <w:rPr>
          <w:rFonts w:ascii="Times New Roman"/>
        </w:rPr>
        <w:t xml:space="preserve"> 1 μg/mL的</w:t>
      </w:r>
      <w:r>
        <w:rPr>
          <w:rFonts w:hint="eastAsia" w:ascii="Times New Roman" w:hAnsi="宋体"/>
        </w:rPr>
        <w:t>氟虫腈</w:t>
      </w:r>
      <w:r>
        <w:rPr>
          <w:rFonts w:ascii="Times New Roman"/>
        </w:rPr>
        <w:t>标准</w:t>
      </w:r>
      <w:r>
        <w:rPr>
          <w:rFonts w:hint="eastAsia" w:ascii="Times New Roman"/>
        </w:rPr>
        <w:t>工作</w:t>
      </w:r>
      <w:r>
        <w:rPr>
          <w:rFonts w:ascii="Times New Roman"/>
        </w:rPr>
        <w:t>液。4℃避光保存，有效期3个月。</w:t>
      </w:r>
    </w:p>
    <w:p>
      <w:pPr>
        <w:pStyle w:val="38"/>
      </w:pPr>
      <w:r>
        <w:rPr>
          <w:rFonts w:hint="eastAsia"/>
        </w:rPr>
        <w:t xml:space="preserve">材料  </w:t>
      </w:r>
    </w:p>
    <w:p>
      <w:pPr>
        <w:spacing w:line="320" w:lineRule="exact"/>
        <w:ind w:firstLine="420" w:firstLineChars="200"/>
      </w:pPr>
      <w:r>
        <w:rPr>
          <w:rFonts w:hint="eastAsia"/>
        </w:rPr>
        <w:t>氟虫腈胶体金快速检测试剂盒。需在阴凉、干燥、避光条件下保存。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4.5.1</w:t>
      </w:r>
      <w:r>
        <w:rPr>
          <w:rFonts w:hint="eastAsia"/>
        </w:rPr>
        <w:t xml:space="preserve">  金标微孔（含胶体金标记的特异性抗体）。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4.5.2</w:t>
      </w:r>
      <w:r>
        <w:rPr>
          <w:rFonts w:hint="eastAsia"/>
        </w:rPr>
        <w:t xml:space="preserve">  试纸条或检测卡。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4.5.3</w:t>
      </w:r>
      <w:r>
        <w:rPr>
          <w:rFonts w:hint="eastAsia"/>
        </w:rPr>
        <w:t xml:space="preserve">  离心管。</w:t>
      </w:r>
    </w:p>
    <w:p>
      <w:pPr>
        <w:pStyle w:val="41"/>
      </w:pPr>
      <w:bookmarkStart w:id="19" w:name="_Toc93438955"/>
      <w:bookmarkStart w:id="20" w:name="_Toc26175104"/>
      <w:r>
        <w:rPr>
          <w:rFonts w:hint="eastAsia"/>
        </w:rPr>
        <w:t>仪器与设备</w:t>
      </w:r>
      <w:bookmarkEnd w:id="19"/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</w:t>
      </w:r>
      <w:r>
        <w:rPr>
          <w:rFonts w:hint="eastAsia" w:hAnsi="宋体"/>
        </w:rPr>
        <w:t xml:space="preserve">  电子天平：感量为</w:t>
      </w:r>
      <w:r>
        <w:rPr>
          <w:rFonts w:ascii="Times New Roman"/>
          <w:szCs w:val="21"/>
        </w:rPr>
        <w:t>0.01</w:t>
      </w:r>
      <w:r>
        <w:rPr>
          <w:rFonts w:ascii="Times New Roman"/>
          <w:kern w:val="2"/>
          <w:szCs w:val="21"/>
        </w:rPr>
        <w:t>mg</w:t>
      </w:r>
      <w:r>
        <w:rPr>
          <w:rFonts w:hint="eastAsia" w:hAnsi="宋体"/>
        </w:rPr>
        <w:t>和</w:t>
      </w:r>
      <w:r>
        <w:rPr>
          <w:rFonts w:ascii="Times New Roman"/>
          <w:szCs w:val="21"/>
        </w:rPr>
        <w:t>0.01</w:t>
      </w:r>
      <w:r>
        <w:rPr>
          <w:rFonts w:ascii="Times New Roman"/>
          <w:kern w:val="2"/>
          <w:szCs w:val="21"/>
        </w:rPr>
        <w:t>g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.2</w:t>
      </w:r>
      <w:r>
        <w:rPr>
          <w:rFonts w:hint="eastAsia" w:hAnsi="宋体"/>
        </w:rPr>
        <w:t xml:space="preserve">  移液器：</w:t>
      </w:r>
      <w:r>
        <w:rPr>
          <w:rFonts w:ascii="Times New Roman" w:eastAsia="黑体"/>
          <w:szCs w:val="21"/>
        </w:rPr>
        <w:t>100μL</w:t>
      </w:r>
      <w:r>
        <w:rPr>
          <w:rFonts w:ascii="Times New Roman"/>
        </w:rPr>
        <w:t>，</w:t>
      </w:r>
      <w:r>
        <w:rPr>
          <w:rFonts w:ascii="Times New Roman" w:eastAsia="黑体"/>
          <w:szCs w:val="21"/>
        </w:rPr>
        <w:t>200μL</w:t>
      </w:r>
      <w:r>
        <w:rPr>
          <w:rFonts w:ascii="Times New Roman"/>
        </w:rPr>
        <w:t>，</w:t>
      </w:r>
      <w:r>
        <w:rPr>
          <w:rFonts w:ascii="Times New Roman"/>
          <w:szCs w:val="21"/>
        </w:rPr>
        <w:t>1</w:t>
      </w:r>
      <w:r>
        <w:rPr>
          <w:rFonts w:ascii="Times New Roman"/>
          <w:kern w:val="2"/>
          <w:szCs w:val="21"/>
        </w:rPr>
        <w:t>mL</w:t>
      </w:r>
      <w:r>
        <w:rPr>
          <w:rFonts w:ascii="Times New Roman"/>
        </w:rPr>
        <w:t>，</w:t>
      </w:r>
      <w:r>
        <w:rPr>
          <w:rFonts w:ascii="Times New Roman"/>
          <w:szCs w:val="21"/>
        </w:rPr>
        <w:t>5</w:t>
      </w:r>
      <w:r>
        <w:rPr>
          <w:rFonts w:ascii="Times New Roman"/>
          <w:kern w:val="2"/>
          <w:szCs w:val="21"/>
        </w:rPr>
        <w:t>mL</w:t>
      </w:r>
      <w:r>
        <w:rPr>
          <w:rFonts w:hint="eastAsia" w:hAnsi="宋体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.3</w:t>
      </w:r>
      <w:r>
        <w:rPr>
          <w:rFonts w:hint="eastAsia" w:hAnsi="宋体"/>
        </w:rPr>
        <w:t xml:space="preserve">  粉碎机。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</w:t>
      </w:r>
      <w:r>
        <w:rPr>
          <w:rFonts w:hint="eastAsia" w:hAnsi="宋体"/>
        </w:rPr>
        <w:t xml:space="preserve">  </w:t>
      </w:r>
      <w:r>
        <w:rPr>
          <w:rFonts w:hint="eastAsia" w:hAnsi="宋体" w:cs="黑体"/>
          <w:szCs w:val="21"/>
        </w:rPr>
        <w:t>离心机：</w:t>
      </w:r>
      <w:r>
        <w:rPr>
          <w:spacing w:val="5"/>
          <w:szCs w:val="21"/>
        </w:rPr>
        <w:t>转速</w:t>
      </w:r>
      <w:r>
        <w:rPr>
          <w:rFonts w:ascii="Times New Roman"/>
          <w:spacing w:val="5"/>
          <w:szCs w:val="21"/>
        </w:rPr>
        <w:t xml:space="preserve">≥4000 </w:t>
      </w:r>
      <w:r>
        <w:rPr>
          <w:rFonts w:ascii="Times New Roman"/>
          <w:kern w:val="2"/>
          <w:szCs w:val="21"/>
        </w:rPr>
        <w:t>r/min</w:t>
      </w:r>
      <w:r>
        <w:rPr>
          <w:rFonts w:ascii="Times New Roman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.5</w:t>
      </w:r>
      <w:r>
        <w:rPr>
          <w:rFonts w:hAnsi="宋体"/>
        </w:rPr>
        <w:t xml:space="preserve">  </w:t>
      </w:r>
      <w:r>
        <w:rPr>
          <w:rFonts w:hint="eastAsia" w:hAnsi="宋体"/>
        </w:rPr>
        <w:t>涡旋混合器。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5.6</w:t>
      </w:r>
      <w:r>
        <w:rPr>
          <w:rFonts w:hAnsi="宋体"/>
        </w:rPr>
        <w:t xml:space="preserve">  </w:t>
      </w:r>
      <w:r>
        <w:rPr>
          <w:rStyle w:val="137"/>
          <w:rFonts w:hint="default"/>
          <w:szCs w:val="21"/>
        </w:rPr>
        <w:t>温育器。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</w:t>
      </w:r>
      <w:r>
        <w:rPr>
          <w:rFonts w:hint="eastAsia" w:hAnsi="宋体"/>
        </w:rPr>
        <w:t xml:space="preserve">  胶体金读数仪</w:t>
      </w:r>
      <w:r>
        <w:rPr>
          <w:rFonts w:ascii="Times New Roman"/>
          <w:kern w:val="2"/>
          <w:szCs w:val="21"/>
        </w:rPr>
        <w:t>(</w:t>
      </w:r>
      <w:r>
        <w:rPr>
          <w:rFonts w:hint="eastAsia" w:hAnsi="宋体"/>
        </w:rPr>
        <w:t>可选</w:t>
      </w:r>
      <w:r>
        <w:rPr>
          <w:rFonts w:ascii="Times New Roman"/>
          <w:kern w:val="2"/>
          <w:szCs w:val="21"/>
        </w:rPr>
        <w:t>)</w:t>
      </w:r>
      <w:r>
        <w:rPr>
          <w:rFonts w:hint="eastAsia" w:hAnsi="宋体"/>
        </w:rPr>
        <w:t>。</w:t>
      </w:r>
    </w:p>
    <w:bookmarkEnd w:id="20"/>
    <w:p>
      <w:pPr>
        <w:pStyle w:val="41"/>
      </w:pPr>
      <w:bookmarkStart w:id="21" w:name="_Toc93438956"/>
      <w:r>
        <w:rPr>
          <w:rFonts w:hint="eastAsia"/>
        </w:rPr>
        <w:t>分析步骤</w:t>
      </w:r>
      <w:bookmarkEnd w:id="21"/>
    </w:p>
    <w:p>
      <w:pPr>
        <w:pStyle w:val="38"/>
      </w:pPr>
      <w:r>
        <w:rPr>
          <w:rFonts w:hint="eastAsia"/>
        </w:rPr>
        <w:t>试样制备</w:t>
      </w:r>
    </w:p>
    <w:p>
      <w:pPr>
        <w:pStyle w:val="21"/>
      </w:pPr>
      <w:r>
        <w:rPr>
          <w:rFonts w:hint="eastAsia"/>
        </w:rPr>
        <w:t>称取不少于</w:t>
      </w:r>
      <w:r>
        <w:rPr>
          <w:rFonts w:ascii="Times New Roman"/>
        </w:rPr>
        <w:t>200 g</w:t>
      </w:r>
      <w:r>
        <w:rPr>
          <w:rFonts w:hint="eastAsia"/>
        </w:rPr>
        <w:t>具有代表性的样品，剪碎，分别装入洁净容器作为试样和留样，密封，标记。留样储存于</w:t>
      </w:r>
      <w:r>
        <w:rPr>
          <w:rFonts w:ascii="Times New Roman"/>
        </w:rPr>
        <w:t>-18℃</w:t>
      </w:r>
      <w:r>
        <w:rPr>
          <w:rFonts w:hint="eastAsia"/>
        </w:rPr>
        <w:t>以下保存。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试样提取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</w:t>
      </w:r>
      <w:r>
        <w:rPr>
          <w:rFonts w:hint="eastAsia"/>
          <w:szCs w:val="21"/>
        </w:rPr>
        <w:t>制备好</w:t>
      </w:r>
      <w:r>
        <w:rPr>
          <w:szCs w:val="21"/>
        </w:rPr>
        <w:t>的试样2 g(精确至0.01 g)至15 mL离心管中，加入8 mL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(4.2)，盖上盖子，涡旋混合器</w:t>
      </w:r>
      <w:r>
        <w:rPr>
          <w:rFonts w:hint="eastAsia"/>
          <w:szCs w:val="21"/>
        </w:rPr>
        <w:t>混匀</w:t>
      </w:r>
      <w:r>
        <w:rPr>
          <w:szCs w:val="21"/>
        </w:rPr>
        <w:t>或手动上下振荡混匀30 s，</w:t>
      </w:r>
      <w:r>
        <w:rPr>
          <w:rFonts w:hint="eastAsia"/>
          <w:szCs w:val="21"/>
        </w:rPr>
        <w:t>静置分层或4</w:t>
      </w:r>
      <w:r>
        <w:rPr>
          <w:szCs w:val="21"/>
        </w:rPr>
        <w:t>000</w:t>
      </w:r>
      <w:r>
        <w:rPr>
          <w:rFonts w:hint="eastAsia"/>
          <w:szCs w:val="21"/>
        </w:rPr>
        <w:t xml:space="preserve"> r</w:t>
      </w:r>
      <w:r>
        <w:rPr>
          <w:szCs w:val="21"/>
        </w:rPr>
        <w:t>/min</w:t>
      </w:r>
      <w:r>
        <w:rPr>
          <w:rFonts w:hint="eastAsia"/>
          <w:szCs w:val="21"/>
        </w:rPr>
        <w:t>离心1 min，</w:t>
      </w:r>
      <w:r>
        <w:rPr>
          <w:szCs w:val="21"/>
        </w:rPr>
        <w:t>上清</w:t>
      </w:r>
      <w:r>
        <w:rPr>
          <w:rFonts w:hint="eastAsia"/>
          <w:szCs w:val="21"/>
        </w:rPr>
        <w:t>液即</w:t>
      </w:r>
      <w:r>
        <w:rPr>
          <w:szCs w:val="21"/>
        </w:rPr>
        <w:t>为待测液。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测定步骤</w:t>
      </w:r>
    </w:p>
    <w:p>
      <w:pPr>
        <w:pStyle w:val="42"/>
        <w:spacing w:before="156" w:after="156"/>
      </w:pPr>
      <w:r>
        <w:rPr>
          <w:rFonts w:hint="eastAsia"/>
        </w:rPr>
        <w:t>测定液的准备</w:t>
      </w:r>
    </w:p>
    <w:p>
      <w:pPr>
        <w:pStyle w:val="21"/>
        <w:rPr>
          <w:szCs w:val="21"/>
        </w:rPr>
      </w:pPr>
      <w:r>
        <w:rPr>
          <w:rFonts w:hint="eastAsia"/>
          <w:szCs w:val="21"/>
        </w:rPr>
        <w:t>其待测液处理方式见下表:</w:t>
      </w:r>
    </w:p>
    <w:tbl>
      <w:tblPr>
        <w:tblStyle w:val="30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2"/>
        <w:gridCol w:w="30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2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基质种类</w:t>
            </w:r>
          </w:p>
        </w:tc>
        <w:tc>
          <w:tcPr>
            <w:tcW w:w="3013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处理方式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3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t>蕹菜（空心菜）、芹菜、小白菜、大白菜、菠菜、生菜、苋菜、茼蒿、油麦菜、上海青、香菜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葱、韭菜、洋葱、大蒜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菜薹（菜心）、结球甘蓝（包菜）、花椰菜、芥蓝、青花菜（</w:t>
            </w:r>
            <w:r>
              <w:rPr>
                <w:rFonts w:hint="eastAsia" w:ascii="宋体"/>
              </w:rPr>
              <w:t>西蓝花</w:t>
            </w:r>
            <w:r>
              <w:rPr>
                <w:rFonts w:ascii="宋体"/>
              </w:rPr>
              <w:t>）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茄子、辣椒、</w:t>
            </w:r>
            <w:r>
              <w:rPr>
                <w:rFonts w:hint="eastAsia" w:ascii="宋体"/>
              </w:rPr>
              <w:t>番茄</w:t>
            </w:r>
            <w:r>
              <w:rPr>
                <w:rFonts w:ascii="宋体"/>
              </w:rPr>
              <w:t>、甜椒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南瓜、西葫芦、冬瓜、黄瓜、苦瓜、腌制用小黄瓜、丝瓜</w:t>
            </w:r>
            <w:r>
              <w:rPr>
                <w:rFonts w:hint="eastAsia" w:ascii="宋体"/>
              </w:rPr>
              <w:t>、豇豆</w:t>
            </w:r>
            <w:r>
              <w:rPr>
                <w:rFonts w:ascii="宋体"/>
              </w:rPr>
              <w:t>、扁豆、豌豆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芦笋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生姜、白萝卜、</w:t>
            </w:r>
            <w:r>
              <w:rPr>
                <w:rFonts w:hint="eastAsia" w:ascii="宋体"/>
              </w:rPr>
              <w:t>马铃薯</w:t>
            </w:r>
            <w:r>
              <w:rPr>
                <w:rFonts w:ascii="宋体"/>
              </w:rPr>
              <w:t>、芋头、胡萝卜、山药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莲藕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绿豆芽、黄豆芽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玉米笋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柑、橙、蜜桔</w:t>
            </w:r>
            <w:r>
              <w:rPr>
                <w:rFonts w:hint="eastAsia" w:ascii="宋体"/>
              </w:rPr>
              <w:t>、柠檬、柚子、</w:t>
            </w:r>
            <w:r>
              <w:rPr>
                <w:rFonts w:ascii="宋体"/>
              </w:rPr>
              <w:t>苹果、梨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水蜜桃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葡萄、草莓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芒果</w:t>
            </w:r>
            <w:r>
              <w:rPr>
                <w:rFonts w:hint="eastAsia" w:ascii="宋体"/>
              </w:rPr>
              <w:t>、</w:t>
            </w:r>
            <w:r>
              <w:rPr>
                <w:rFonts w:ascii="宋体"/>
              </w:rPr>
              <w:t>西瓜</w:t>
            </w:r>
            <w:r>
              <w:rPr>
                <w:rFonts w:hint="eastAsia" w:ascii="宋体"/>
              </w:rPr>
              <w:t>、哈密瓜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</w:p>
        </w:tc>
        <w:tc>
          <w:tcPr>
            <w:tcW w:w="301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Calibri" w:hAnsi="Calibri"/>
                <w:szCs w:val="21"/>
              </w:rPr>
              <w:t>在金标微孔中加入</w:t>
            </w:r>
            <w:r>
              <w:rPr>
                <w:rFonts w:hint="eastAsia" w:ascii="宋体"/>
                <w:szCs w:val="21"/>
              </w:rPr>
              <w:t>200</w:t>
            </w:r>
            <w:r>
              <w:rPr>
                <w:rFonts w:ascii="宋体"/>
                <w:szCs w:val="21"/>
              </w:rPr>
              <w:t xml:space="preserve"> μL</w:t>
            </w:r>
            <w:r>
              <w:rPr>
                <w:rFonts w:hint="eastAsia" w:ascii="宋体"/>
                <w:szCs w:val="21"/>
              </w:rPr>
              <w:t>待测液，</w:t>
            </w:r>
            <w:r>
              <w:rPr>
                <w:rFonts w:hint="eastAsia" w:ascii="Calibri" w:hAnsi="Calibri"/>
                <w:szCs w:val="21"/>
              </w:rPr>
              <w:t>用一次性吸管</w:t>
            </w:r>
            <w:r>
              <w:rPr>
                <w:rFonts w:ascii="Calibri" w:hAnsi="Calibri"/>
                <w:szCs w:val="21"/>
              </w:rPr>
              <w:t>上下抽吸5</w:t>
            </w:r>
            <w:r>
              <w:rPr>
                <w:rFonts w:ascii="宋体"/>
                <w:szCs w:val="21"/>
              </w:rPr>
              <w:t>~</w:t>
            </w:r>
            <w:r>
              <w:rPr>
                <w:rFonts w:ascii="Calibri" w:hAnsi="Calibri"/>
                <w:szCs w:val="21"/>
              </w:rPr>
              <w:t>10次直至微孔试剂混合均匀。</w:t>
            </w:r>
          </w:p>
        </w:tc>
      </w:tr>
    </w:tbl>
    <w:p>
      <w:pPr>
        <w:pStyle w:val="21"/>
        <w:ind w:firstLine="0" w:firstLineChars="0"/>
      </w:pP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测定</w:t>
      </w:r>
    </w:p>
    <w:p>
      <w:pPr>
        <w:pStyle w:val="42"/>
        <w:numPr>
          <w:ilvl w:val="0"/>
          <w:numId w:val="0"/>
        </w:numPr>
        <w:spacing w:before="0" w:beforeLines="0" w:after="0" w:afterLines="0"/>
        <w:ind w:firstLine="420" w:firstLineChars="200"/>
        <w:outlineLvl w:val="9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将以上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(6.3.1)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混匀后的测试样品在室温(20～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)温育3 min，将试纸条插入到金标微孔中，室温(20～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)反应6 min后，从微孔中取出试纸条，除去试纸条下端的样品垫，进行结果判定。</w:t>
      </w:r>
    </w:p>
    <w:p>
      <w:pPr>
        <w:pStyle w:val="6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测定步骤建议按照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试纸条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6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结果判定建议使用读数仪，读数仪的具体使用参照仪器使用说明书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8"/>
      </w:pPr>
      <w:r>
        <w:t>质控试验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空白试验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准确称取空白试样，按照6.2和6.3步骤与样品同法操作</w:t>
      </w:r>
      <w:r>
        <w:rPr>
          <w:rFonts w:hint="eastAsia"/>
          <w:szCs w:val="21"/>
        </w:rPr>
        <w:t>；也可</w:t>
      </w:r>
      <w:r>
        <w:rPr>
          <w:szCs w:val="21"/>
        </w:rPr>
        <w:t>在金标微孔中加入200 μL</w:t>
      </w:r>
      <w:r>
        <w:rPr>
          <w:rFonts w:hint="eastAsia"/>
        </w:rPr>
        <w:t>缓冲液</w:t>
      </w:r>
      <w:r>
        <w:rPr>
          <w:szCs w:val="21"/>
        </w:rPr>
        <w:t>，</w:t>
      </w:r>
      <w:r>
        <w:rPr>
          <w:rFonts w:hint="eastAsia"/>
          <w:szCs w:val="21"/>
        </w:rPr>
        <w:t>用一次性吸管</w:t>
      </w:r>
      <w:r>
        <w:rPr>
          <w:szCs w:val="21"/>
        </w:rPr>
        <w:t>上下抽吸5~10次直至微孔试剂混合均匀</w:t>
      </w:r>
      <w:r>
        <w:rPr>
          <w:rFonts w:hint="eastAsia"/>
          <w:szCs w:val="21"/>
        </w:rPr>
        <w:t>后，按6</w:t>
      </w:r>
      <w:r>
        <w:rPr>
          <w:szCs w:val="21"/>
        </w:rPr>
        <w:t>.3.2操作。</w:t>
      </w:r>
    </w:p>
    <w:p>
      <w:pPr>
        <w:pStyle w:val="42"/>
        <w:spacing w:before="156" w:after="156"/>
      </w:pPr>
      <w:r>
        <w:t>加标质控试验</w:t>
      </w:r>
    </w:p>
    <w:p>
      <w:pPr>
        <w:pStyle w:val="42"/>
        <w:numPr>
          <w:ilvl w:val="2"/>
          <w:numId w:val="0"/>
        </w:numPr>
        <w:spacing w:before="156" w:after="156"/>
        <w:ind w:firstLine="420" w:firstLineChars="200"/>
      </w:pPr>
      <w:r>
        <w:rPr>
          <w:rFonts w:hint="eastAsia" w:ascii="Times New Roman" w:hAnsi="宋体" w:eastAsia="宋体"/>
        </w:rPr>
        <w:t>测定</w:t>
      </w:r>
      <w:r>
        <w:rPr>
          <w:rFonts w:ascii="Times New Roman" w:eastAsia="宋体"/>
        </w:rPr>
        <w:t>蕹菜（空心菜）、芹菜、小白菜、大白菜、菠菜、生菜、苋菜、茼蒿、油麦菜、上海青、香菜</w:t>
      </w:r>
      <w:r>
        <w:rPr>
          <w:rFonts w:hint="eastAsia"/>
        </w:rPr>
        <w:t>、</w:t>
      </w:r>
      <w:r>
        <w:rPr>
          <w:rFonts w:ascii="Times New Roman" w:eastAsia="宋体"/>
        </w:rPr>
        <w:t>葱、韭菜、洋葱、大蒜</w:t>
      </w:r>
      <w:r>
        <w:rPr>
          <w:rFonts w:hint="eastAsia"/>
        </w:rPr>
        <w:t>、</w:t>
      </w:r>
      <w:r>
        <w:rPr>
          <w:rFonts w:ascii="Times New Roman" w:eastAsia="宋体"/>
        </w:rPr>
        <w:t>菜薹（菜心）、结球甘蓝（包菜）、花椰菜、芥蓝、青花菜（</w:t>
      </w:r>
      <w:r>
        <w:rPr>
          <w:rFonts w:hint="eastAsia" w:ascii="Times New Roman" w:eastAsia="宋体"/>
        </w:rPr>
        <w:t>西蓝花</w:t>
      </w:r>
      <w:r>
        <w:rPr>
          <w:rFonts w:ascii="Times New Roman" w:eastAsia="宋体"/>
        </w:rPr>
        <w:t>）</w:t>
      </w:r>
      <w:r>
        <w:rPr>
          <w:rFonts w:hint="eastAsia"/>
        </w:rPr>
        <w:t>、</w:t>
      </w:r>
      <w:r>
        <w:rPr>
          <w:rFonts w:ascii="Times New Roman" w:eastAsia="宋体"/>
        </w:rPr>
        <w:t>茄子、辣椒、</w:t>
      </w:r>
      <w:r>
        <w:rPr>
          <w:rFonts w:hint="eastAsia" w:ascii="Times New Roman" w:eastAsia="宋体"/>
        </w:rPr>
        <w:t>番茄</w:t>
      </w:r>
      <w:r>
        <w:rPr>
          <w:rFonts w:ascii="Times New Roman" w:eastAsia="宋体"/>
        </w:rPr>
        <w:t>、甜椒</w:t>
      </w:r>
      <w:r>
        <w:rPr>
          <w:rFonts w:hint="eastAsia"/>
        </w:rPr>
        <w:t>、</w:t>
      </w:r>
      <w:r>
        <w:rPr>
          <w:rFonts w:ascii="Times New Roman" w:eastAsia="宋体"/>
        </w:rPr>
        <w:t>南瓜、西葫芦、冬瓜、黄瓜、苦瓜、腌制用小黄瓜、丝瓜</w:t>
      </w:r>
      <w:r>
        <w:rPr>
          <w:rFonts w:hint="eastAsia"/>
        </w:rPr>
        <w:t>、</w:t>
      </w:r>
      <w:r>
        <w:rPr>
          <w:rFonts w:hint="eastAsia" w:ascii="Times New Roman" w:eastAsia="宋体"/>
        </w:rPr>
        <w:t>豇豆</w:t>
      </w:r>
      <w:r>
        <w:rPr>
          <w:rFonts w:ascii="Times New Roman" w:eastAsia="宋体"/>
        </w:rPr>
        <w:t>、扁豆、豌豆</w:t>
      </w:r>
      <w:r>
        <w:rPr>
          <w:rFonts w:hint="eastAsia"/>
        </w:rPr>
        <w:t>、</w:t>
      </w:r>
      <w:r>
        <w:rPr>
          <w:rFonts w:ascii="Times New Roman" w:eastAsia="宋体"/>
        </w:rPr>
        <w:t>芦笋</w:t>
      </w:r>
      <w:r>
        <w:rPr>
          <w:rFonts w:hint="eastAsia"/>
        </w:rPr>
        <w:t>、</w:t>
      </w:r>
      <w:r>
        <w:rPr>
          <w:rFonts w:ascii="Times New Roman" w:eastAsia="宋体"/>
        </w:rPr>
        <w:t>生姜、白萝卜、</w:t>
      </w:r>
      <w:r>
        <w:rPr>
          <w:rFonts w:hint="eastAsia" w:ascii="Times New Roman" w:eastAsia="宋体"/>
        </w:rPr>
        <w:t>马铃薯</w:t>
      </w:r>
      <w:r>
        <w:rPr>
          <w:rFonts w:ascii="Times New Roman" w:eastAsia="宋体"/>
        </w:rPr>
        <w:t>、芋头、胡萝卜、山药</w:t>
      </w:r>
      <w:r>
        <w:rPr>
          <w:rFonts w:hint="eastAsia"/>
        </w:rPr>
        <w:t>、</w:t>
      </w:r>
      <w:r>
        <w:rPr>
          <w:rFonts w:ascii="Times New Roman" w:eastAsia="宋体"/>
        </w:rPr>
        <w:t>莲藕</w:t>
      </w:r>
      <w:r>
        <w:rPr>
          <w:rFonts w:hint="eastAsia"/>
        </w:rPr>
        <w:t>、</w:t>
      </w:r>
      <w:r>
        <w:rPr>
          <w:rFonts w:ascii="Times New Roman" w:eastAsia="宋体"/>
        </w:rPr>
        <w:t>绿豆芽、黄豆芽</w:t>
      </w:r>
      <w:r>
        <w:rPr>
          <w:rFonts w:hint="eastAsia"/>
        </w:rPr>
        <w:t>、</w:t>
      </w:r>
      <w:r>
        <w:rPr>
          <w:rFonts w:ascii="Times New Roman" w:eastAsia="宋体"/>
        </w:rPr>
        <w:t>玉米笋</w:t>
      </w:r>
      <w:r>
        <w:rPr>
          <w:rFonts w:hint="eastAsia"/>
        </w:rPr>
        <w:t>、</w:t>
      </w:r>
      <w:r>
        <w:rPr>
          <w:rFonts w:ascii="Times New Roman" w:eastAsia="宋体"/>
        </w:rPr>
        <w:t>柑、橙、蜜桔</w:t>
      </w:r>
      <w:r>
        <w:rPr>
          <w:rFonts w:hint="eastAsia" w:ascii="Times New Roman" w:eastAsia="宋体"/>
        </w:rPr>
        <w:t>、柠檬、柚子</w:t>
      </w:r>
      <w:r>
        <w:rPr>
          <w:rFonts w:hint="eastAsia"/>
        </w:rPr>
        <w:t>、</w:t>
      </w:r>
      <w:r>
        <w:rPr>
          <w:rFonts w:ascii="Times New Roman" w:eastAsia="宋体"/>
        </w:rPr>
        <w:t>苹果、梨</w:t>
      </w:r>
      <w:r>
        <w:rPr>
          <w:rFonts w:hint="eastAsia"/>
        </w:rPr>
        <w:t>、</w:t>
      </w:r>
      <w:r>
        <w:rPr>
          <w:rFonts w:ascii="Times New Roman" w:eastAsia="宋体"/>
        </w:rPr>
        <w:t>水蜜桃</w:t>
      </w:r>
      <w:r>
        <w:rPr>
          <w:rFonts w:hint="eastAsia"/>
        </w:rPr>
        <w:t>、</w:t>
      </w:r>
      <w:r>
        <w:rPr>
          <w:rFonts w:ascii="Times New Roman" w:eastAsia="宋体"/>
        </w:rPr>
        <w:t>葡萄、草莓</w:t>
      </w:r>
      <w:r>
        <w:rPr>
          <w:rFonts w:hint="eastAsia"/>
        </w:rPr>
        <w:t>、</w:t>
      </w:r>
      <w:r>
        <w:rPr>
          <w:rFonts w:ascii="Times New Roman" w:eastAsia="宋体"/>
        </w:rPr>
        <w:t>芒果</w:t>
      </w:r>
      <w:r>
        <w:rPr>
          <w:rFonts w:hint="eastAsia"/>
        </w:rPr>
        <w:t>、</w:t>
      </w:r>
      <w:r>
        <w:rPr>
          <w:rFonts w:ascii="Times New Roman" w:eastAsia="宋体"/>
        </w:rPr>
        <w:t>西瓜</w:t>
      </w:r>
      <w:r>
        <w:rPr>
          <w:rFonts w:hint="eastAsia" w:ascii="Times New Roman" w:eastAsia="宋体"/>
        </w:rPr>
        <w:t>、哈密瓜时，</w:t>
      </w:r>
      <w:r>
        <w:rPr>
          <w:rFonts w:hint="eastAsia" w:ascii="Times New Roman" w:hAnsi="宋体" w:eastAsia="宋体"/>
        </w:rPr>
        <w:t>称取氟虫腈含量为0.02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氟虫腈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.4.3），使氟虫腈的添加量为0.02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38"/>
        <w:numPr>
          <w:ilvl w:val="0"/>
          <w:numId w:val="0"/>
        </w:numPr>
        <w:ind w:firstLine="360" w:firstLineChars="200"/>
        <w:rPr>
          <w:rFonts w:eastAsia="宋体"/>
        </w:rPr>
      </w:pPr>
      <w:r>
        <w:rPr>
          <w:rFonts w:hint="eastAsia"/>
          <w:sz w:val="18"/>
          <w:szCs w:val="18"/>
        </w:rPr>
        <w:t>注：</w:t>
      </w:r>
      <w:r>
        <w:rPr>
          <w:rFonts w:eastAsia="宋体"/>
          <w:sz w:val="18"/>
          <w:szCs w:val="18"/>
        </w:rPr>
        <w:t>每批试样应同时进行空白试验和加标质控试验。</w:t>
      </w:r>
    </w:p>
    <w:p>
      <w:pPr>
        <w:pStyle w:val="41"/>
      </w:pPr>
      <w:bookmarkStart w:id="22" w:name="_Toc93438957"/>
      <w:r>
        <w:t>结果</w:t>
      </w:r>
      <w:r>
        <w:rPr>
          <w:rFonts w:hint="eastAsia"/>
        </w:rPr>
        <w:t>判定</w:t>
      </w:r>
      <w:bookmarkEnd w:id="22"/>
    </w:p>
    <w:p>
      <w:pPr>
        <w:pStyle w:val="38"/>
      </w:pPr>
      <w:r>
        <w:t>目视</w:t>
      </w:r>
      <w:r>
        <w:rPr>
          <w:rFonts w:hint="eastAsia"/>
        </w:rPr>
        <w:t>法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通过对比控制线(C线)和检测线(T线)的颜色深浅进行结果</w:t>
      </w:r>
      <w:r>
        <w:rPr>
          <w:rFonts w:hint="eastAsia"/>
          <w:szCs w:val="21"/>
        </w:rPr>
        <w:t>判定</w:t>
      </w:r>
      <w:r>
        <w:rPr>
          <w:szCs w:val="21"/>
        </w:rPr>
        <w:t>。目视结果示意图见图1。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无效结果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控制线(C线)不显色</w:t>
      </w:r>
      <w:r>
        <w:rPr>
          <w:rFonts w:hint="eastAsia"/>
          <w:szCs w:val="21"/>
        </w:rPr>
        <w:t>，</w:t>
      </w:r>
      <w:r>
        <w:rPr>
          <w:szCs w:val="21"/>
        </w:rPr>
        <w:t>无论检测线(T线)是否显色，</w:t>
      </w:r>
      <w:r>
        <w:rPr>
          <w:rFonts w:hint="eastAsia"/>
          <w:szCs w:val="21"/>
        </w:rPr>
        <w:t>判定为</w:t>
      </w:r>
      <w:r>
        <w:rPr>
          <w:szCs w:val="21"/>
        </w:rPr>
        <w:t>无效</w:t>
      </w:r>
      <w:r>
        <w:rPr>
          <w:rFonts w:hint="eastAsia"/>
          <w:szCs w:val="21"/>
        </w:rPr>
        <w:t>结果；</w:t>
      </w:r>
      <w:r>
        <w:rPr>
          <w:rFonts w:hint="eastAsia"/>
        </w:rPr>
        <w:t>质控试验结果不符合要求时，同批次所有检测结果判定为无效结果</w:t>
      </w:r>
      <w:r>
        <w:rPr>
          <w:szCs w:val="21"/>
        </w:rPr>
        <w:t>。</w:t>
      </w:r>
      <w:r>
        <w:rPr>
          <w:rFonts w:hint="eastAsia"/>
          <w:szCs w:val="21"/>
        </w:rPr>
        <w:t>若出现无效结果，需对同批次样品进行重新检测。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阴性结果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若检测线(T线)颜色深于或等于控制线(C线)表示试样中不含</w:t>
      </w:r>
      <w:r>
        <w:rPr>
          <w:rFonts w:hint="eastAsia"/>
          <w:szCs w:val="21"/>
        </w:rPr>
        <w:t>氟虫腈或</w:t>
      </w:r>
      <w:r>
        <w:rPr>
          <w:szCs w:val="21"/>
        </w:rPr>
        <w:t>其含量低于方法检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为阴性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阳性结果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若检测线(T线)不显色或颜色浅于控制线(C线)表示试样中含有</w:t>
      </w:r>
      <w:r>
        <w:rPr>
          <w:rFonts w:hint="eastAsia"/>
          <w:szCs w:val="21"/>
        </w:rPr>
        <w:t>氟虫腈</w:t>
      </w:r>
      <w:r>
        <w:rPr>
          <w:szCs w:val="21"/>
        </w:rPr>
        <w:t>且其含量高于方法检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jc w:val="center"/>
        <w:rPr>
          <w:rFonts w:eastAsiaTheme="minorEastAsia"/>
          <w:szCs w:val="21"/>
        </w:rPr>
      </w:pPr>
      <w:r>
        <w:rPr>
          <w:szCs w:val="21"/>
        </w:rPr>
        <w:drawing>
          <wp:inline distT="0" distB="0" distL="0" distR="0">
            <wp:extent cx="3689350" cy="2559050"/>
            <wp:effectExtent l="19050" t="0" r="0" b="0"/>
            <wp:docPr id="7" name="图片 1" descr="D:\FICS工作\快检评价\硝基呋喃类方法编写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D:\FICS工作\快检评价\硝基呋喃类方法编写\图片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55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图1</w:t>
      </w:r>
    </w:p>
    <w:p>
      <w:pPr>
        <w:pStyle w:val="38"/>
      </w:pPr>
      <w:r>
        <w:rPr>
          <w:rFonts w:hint="eastAsia"/>
        </w:rPr>
        <w:t>胶体金读数仪法</w:t>
      </w:r>
    </w:p>
    <w:p>
      <w:pPr>
        <w:pStyle w:val="21"/>
      </w:pPr>
      <w:r>
        <w:rPr>
          <w:rFonts w:hint="eastAsia"/>
        </w:rPr>
        <w:t>按照胶体金读数仪说明书进行操作，直接读取检测结果，并按胶体金读数仪说明书进行判定。质控试验结果不符合要求时，同批次所有检测结果判定为无效结果。</w:t>
      </w:r>
    </w:p>
    <w:p>
      <w:pPr>
        <w:pStyle w:val="38"/>
      </w:pPr>
      <w:r>
        <w:t>质控试验结果</w:t>
      </w:r>
    </w:p>
    <w:p>
      <w:pPr>
        <w:ind w:firstLine="420" w:firstLineChars="200"/>
        <w:jc w:val="left"/>
        <w:rPr>
          <w:sz w:val="18"/>
          <w:szCs w:val="18"/>
        </w:rPr>
      </w:pPr>
      <w:r>
        <w:rPr>
          <w:szCs w:val="21"/>
        </w:rPr>
        <w:t>空白试验测定结果应为阴性</w:t>
      </w:r>
      <w:r>
        <w:rPr>
          <w:rFonts w:hint="eastAsia"/>
          <w:szCs w:val="21"/>
        </w:rPr>
        <w:t>结果</w:t>
      </w:r>
      <w:r>
        <w:rPr>
          <w:szCs w:val="21"/>
        </w:rPr>
        <w:t>，加标质控试验测定结果应为阳性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1"/>
      </w:pPr>
      <w:bookmarkStart w:id="23" w:name="_Toc93438958"/>
      <w:r>
        <w:rPr>
          <w:rFonts w:hint="eastAsia"/>
        </w:rPr>
        <w:t>结论</w:t>
      </w:r>
      <w:bookmarkEnd w:id="23"/>
    </w:p>
    <w:p>
      <w:pPr>
        <w:pStyle w:val="21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当检测结果为阳性时，应</w:t>
      </w:r>
      <w:r>
        <w:rPr>
          <w:szCs w:val="21"/>
        </w:rPr>
        <w:t>采用</w:t>
      </w:r>
      <w:r>
        <w:rPr>
          <w:rFonts w:hint="eastAsia" w:ascii="Times New Roman"/>
        </w:rPr>
        <w:t>指定</w:t>
      </w:r>
      <w:r>
        <w:rPr>
          <w:szCs w:val="21"/>
        </w:rPr>
        <w:t>参比方法</w:t>
      </w:r>
      <w:r>
        <w:rPr>
          <w:rFonts w:ascii="Times New Roman"/>
          <w:kern w:val="2"/>
          <w:szCs w:val="21"/>
        </w:rPr>
        <w:t>对结果进行确证。</w:t>
      </w:r>
    </w:p>
    <w:p>
      <w:pPr>
        <w:pStyle w:val="41"/>
      </w:pPr>
      <w:bookmarkStart w:id="24" w:name="_Toc93438959"/>
      <w:r>
        <w:rPr>
          <w:rFonts w:hint="eastAsia"/>
        </w:rPr>
        <w:t>性能指标</w:t>
      </w:r>
      <w:bookmarkEnd w:id="24"/>
    </w:p>
    <w:p>
      <w:pPr>
        <w:pStyle w:val="38"/>
      </w:pPr>
      <w:r>
        <w:t>检</w:t>
      </w:r>
      <w:r>
        <w:rPr>
          <w:rFonts w:hint="eastAsia"/>
        </w:rPr>
        <w:t>出</w:t>
      </w:r>
      <w:r>
        <w:t>限</w:t>
      </w:r>
    </w:p>
    <w:p>
      <w:pPr>
        <w:ind w:firstLine="420" w:firstLineChars="200"/>
        <w:rPr>
          <w:szCs w:val="21"/>
        </w:rPr>
      </w:pPr>
      <w:r>
        <w:rPr>
          <w:szCs w:val="21"/>
        </w:rPr>
        <w:t>本</w:t>
      </w:r>
      <w:r>
        <w:rPr>
          <w:rFonts w:hint="eastAsia"/>
          <w:szCs w:val="21"/>
        </w:rPr>
        <w:t>方</w:t>
      </w:r>
      <w:r>
        <w:rPr>
          <w:szCs w:val="21"/>
        </w:rPr>
        <w:t>法</w:t>
      </w:r>
      <w:r>
        <w:t>蕹菜（空心菜）、芹菜、小白菜、大白菜、菠菜、生菜、苋菜、茼蒿、油麦菜、上海青、香菜</w:t>
      </w:r>
      <w:r>
        <w:rPr>
          <w:rFonts w:hint="eastAsia"/>
        </w:rPr>
        <w:t>、</w:t>
      </w:r>
      <w:r>
        <w:t>葱、韭菜、洋葱、大蒜</w:t>
      </w:r>
      <w:r>
        <w:rPr>
          <w:rFonts w:hint="eastAsia"/>
        </w:rPr>
        <w:t>、</w:t>
      </w:r>
      <w:r>
        <w:t>菜薹（菜心）、结球甘蓝（包菜）、花椰菜、芥蓝、青花菜（</w:t>
      </w:r>
      <w:r>
        <w:rPr>
          <w:rFonts w:hint="eastAsia"/>
        </w:rPr>
        <w:t>西蓝花</w:t>
      </w:r>
      <w:r>
        <w:t>）</w:t>
      </w:r>
      <w:r>
        <w:rPr>
          <w:rFonts w:hint="eastAsia"/>
        </w:rPr>
        <w:t>、</w:t>
      </w:r>
      <w:r>
        <w:t>茄子、辣椒、</w:t>
      </w:r>
      <w:r>
        <w:rPr>
          <w:rFonts w:hint="eastAsia"/>
        </w:rPr>
        <w:t>番茄</w:t>
      </w:r>
      <w:r>
        <w:t>、甜椒</w:t>
      </w:r>
      <w:r>
        <w:rPr>
          <w:rFonts w:hint="eastAsia"/>
        </w:rPr>
        <w:t>、</w:t>
      </w:r>
      <w:r>
        <w:t>南瓜、西葫芦、冬瓜、黄瓜、苦瓜、腌制用小黄瓜、丝瓜</w:t>
      </w:r>
      <w:r>
        <w:rPr>
          <w:rFonts w:hint="eastAsia"/>
        </w:rPr>
        <w:t>、豇豆</w:t>
      </w:r>
      <w:r>
        <w:t>、扁豆、豌豆</w:t>
      </w:r>
      <w:r>
        <w:rPr>
          <w:rFonts w:hint="eastAsia"/>
        </w:rPr>
        <w:t>、</w:t>
      </w:r>
      <w:r>
        <w:t>芦笋</w:t>
      </w:r>
      <w:r>
        <w:rPr>
          <w:rFonts w:hint="eastAsia"/>
        </w:rPr>
        <w:t>、</w:t>
      </w:r>
      <w:r>
        <w:t>生姜、白萝卜、</w:t>
      </w:r>
      <w:r>
        <w:rPr>
          <w:rFonts w:hint="eastAsia"/>
        </w:rPr>
        <w:t>马铃薯</w:t>
      </w:r>
      <w:r>
        <w:t>、芋头、胡萝卜、山药</w:t>
      </w:r>
      <w:r>
        <w:rPr>
          <w:rFonts w:hint="eastAsia"/>
        </w:rPr>
        <w:t>、</w:t>
      </w:r>
      <w:r>
        <w:t>莲藕</w:t>
      </w:r>
      <w:r>
        <w:rPr>
          <w:rFonts w:hint="eastAsia"/>
        </w:rPr>
        <w:t>、</w:t>
      </w:r>
      <w:r>
        <w:t>绿豆芽、黄豆芽</w:t>
      </w:r>
      <w:r>
        <w:rPr>
          <w:rFonts w:hint="eastAsia"/>
        </w:rPr>
        <w:t>、</w:t>
      </w:r>
      <w:r>
        <w:t>玉米笋</w:t>
      </w:r>
      <w:r>
        <w:rPr>
          <w:rFonts w:hint="eastAsia"/>
        </w:rPr>
        <w:t>、</w:t>
      </w:r>
      <w:r>
        <w:t>柑、橙、蜜桔</w:t>
      </w:r>
      <w:r>
        <w:rPr>
          <w:rFonts w:hint="eastAsia"/>
        </w:rPr>
        <w:t>、柠檬、柚子、</w:t>
      </w:r>
      <w:r>
        <w:t>苹果、梨</w:t>
      </w:r>
      <w:r>
        <w:rPr>
          <w:rFonts w:hint="eastAsia"/>
        </w:rPr>
        <w:t>、</w:t>
      </w:r>
      <w:r>
        <w:t>水蜜桃</w:t>
      </w:r>
      <w:r>
        <w:rPr>
          <w:rFonts w:hint="eastAsia"/>
        </w:rPr>
        <w:t>、</w:t>
      </w:r>
      <w:r>
        <w:t>葡萄、草莓</w:t>
      </w:r>
      <w:r>
        <w:rPr>
          <w:rFonts w:hint="eastAsia"/>
        </w:rPr>
        <w:t>、</w:t>
      </w:r>
      <w:r>
        <w:t>芒果</w:t>
      </w:r>
      <w:r>
        <w:rPr>
          <w:rFonts w:hint="eastAsia"/>
        </w:rPr>
        <w:t>、</w:t>
      </w:r>
      <w:r>
        <w:t>西瓜</w:t>
      </w:r>
      <w:r>
        <w:rPr>
          <w:rFonts w:hint="eastAsia"/>
        </w:rPr>
        <w:t>、哈密瓜</w:t>
      </w:r>
      <w:r>
        <w:rPr>
          <w:rFonts w:hint="eastAsia"/>
          <w:szCs w:val="21"/>
        </w:rPr>
        <w:t>中氟虫腈</w:t>
      </w:r>
      <w:r>
        <w:rPr>
          <w:szCs w:val="21"/>
        </w:rPr>
        <w:t>的检</w:t>
      </w:r>
      <w:r>
        <w:rPr>
          <w:rFonts w:hint="eastAsia"/>
          <w:szCs w:val="21"/>
        </w:rPr>
        <w:t>出</w:t>
      </w:r>
      <w:r>
        <w:rPr>
          <w:szCs w:val="21"/>
        </w:rPr>
        <w:t>限为0.</w:t>
      </w:r>
      <w:r>
        <w:rPr>
          <w:rFonts w:hint="eastAsia"/>
          <w:szCs w:val="21"/>
        </w:rPr>
        <w:t>02</w:t>
      </w:r>
      <w:r>
        <w:rPr>
          <w:szCs w:val="21"/>
        </w:rPr>
        <w:t xml:space="preserve"> mg/kg。</w:t>
      </w:r>
    </w:p>
    <w:p>
      <w:pPr>
        <w:pStyle w:val="38"/>
      </w:pPr>
      <w:r>
        <w:t>灵敏度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灵敏度：</w:t>
      </w:r>
      <w:r>
        <w:rPr>
          <w:rFonts w:hint="eastAsia"/>
          <w:szCs w:val="21"/>
        </w:rPr>
        <w:t>≥</w:t>
      </w:r>
      <w:r>
        <w:rPr>
          <w:szCs w:val="21"/>
        </w:rPr>
        <w:t>95%。</w:t>
      </w:r>
    </w:p>
    <w:p>
      <w:pPr>
        <w:pStyle w:val="38"/>
      </w:pPr>
      <w:r>
        <w:t>特异性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特异性：≥90%</w:t>
      </w:r>
    </w:p>
    <w:p>
      <w:pPr>
        <w:pStyle w:val="38"/>
      </w:pPr>
      <w:r>
        <w:t>假阴性率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假阴性率：</w:t>
      </w:r>
      <w:r>
        <w:rPr>
          <w:rFonts w:hint="eastAsia"/>
          <w:szCs w:val="21"/>
        </w:rPr>
        <w:t>≤</w:t>
      </w:r>
      <w:r>
        <w:rPr>
          <w:szCs w:val="21"/>
        </w:rPr>
        <w:t>5%。</w:t>
      </w:r>
    </w:p>
    <w:p>
      <w:pPr>
        <w:pStyle w:val="38"/>
      </w:pPr>
      <w:r>
        <w:t>假阳性率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假阳性率：</w:t>
      </w:r>
      <w:r>
        <w:rPr>
          <w:rFonts w:hint="eastAsia"/>
          <w:szCs w:val="21"/>
        </w:rPr>
        <w:t>≤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szCs w:val="21"/>
        </w:rPr>
        <w:t>%。</w:t>
      </w:r>
    </w:p>
    <w:p>
      <w:pPr>
        <w:adjustRightInd w:val="0"/>
        <w:snapToGrid w:val="0"/>
        <w:spacing w:before="156" w:beforeLines="50"/>
        <w:ind w:firstLine="36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性能指标计算方法见附录A。</w:t>
      </w:r>
    </w:p>
    <w:p>
      <w:pPr>
        <w:pStyle w:val="41"/>
      </w:pPr>
      <w:bookmarkStart w:id="25" w:name="_Toc93438960"/>
      <w:r>
        <w:t>其他</w:t>
      </w:r>
      <w:bookmarkEnd w:id="25"/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本方法分析步骤和结果判定可以根据厂家试剂盒的说明书进行，但应符合或优于本方法规定的性能指标。</w:t>
      </w:r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szCs w:val="21"/>
        </w:rPr>
        <w:t>本方法所述试剂、试剂盒信息、操作步骤及结果判定要求是为给方法使用者提供方便，在使用本方法时不做限定。方法使用者在使用替代试剂、试剂盒或操作步骤前，须对其进行考察，应满足本方法规定的各项性能指标。</w:t>
      </w:r>
    </w:p>
    <w:p>
      <w:pPr>
        <w:spacing w:before="156" w:beforeLines="50" w:after="156" w:afterLines="50"/>
        <w:ind w:firstLine="420" w:firstLineChars="200"/>
        <w:rPr>
          <w:rFonts w:eastAsia="黑体"/>
          <w:szCs w:val="21"/>
        </w:rPr>
      </w:pPr>
      <w:r>
        <w:rPr>
          <w:szCs w:val="21"/>
        </w:rPr>
        <w:t>本方法参比方法为</w:t>
      </w:r>
      <w:r>
        <w:rPr>
          <w:rFonts w:hint="eastAsia"/>
          <w:szCs w:val="21"/>
        </w:rPr>
        <w:t>SN/T 1982</w:t>
      </w:r>
      <w:r>
        <w:rPr>
          <w:szCs w:val="21"/>
        </w:rPr>
        <w:t>《</w:t>
      </w:r>
      <w:r>
        <w:rPr>
          <w:rFonts w:hint="eastAsia"/>
          <w:szCs w:val="21"/>
        </w:rPr>
        <w:t>进出口食品中氟虫腈残留量检测方法</w:t>
      </w:r>
      <w:r>
        <w:rPr>
          <w:szCs w:val="21"/>
        </w:rPr>
        <w:t xml:space="preserve"> 气相色谱-质谱法》。</w:t>
      </w: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41"/>
        <w:numPr>
          <w:ilvl w:val="0"/>
          <w:numId w:val="0"/>
        </w:numPr>
        <w:spacing w:beforeLines="0" w:afterLines="0" w:line="360" w:lineRule="auto"/>
        <w:ind w:firstLine="4410" w:firstLineChars="210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6" w:name="_Toc92036777"/>
      <w:bookmarkStart w:id="27" w:name="_Toc93438961"/>
      <w:r>
        <w:rPr>
          <w:color w:val="000000" w:themeColor="text1"/>
          <w14:textFill>
            <w14:solidFill>
              <w14:schemeClr w14:val="tx1"/>
            </w14:solidFill>
          </w14:textFill>
        </w:rPr>
        <w:t>附录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bookmarkEnd w:id="26"/>
      <w:bookmarkEnd w:id="27"/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8" w:name="_Toc9661_WPSOffice_Level1"/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（规范性）</w:t>
      </w:r>
    </w:p>
    <w:p>
      <w:pPr>
        <w:spacing w:line="360" w:lineRule="auto"/>
        <w:jc w:val="center"/>
        <w:outlineLvl w:val="1"/>
        <w:rPr>
          <w:rFonts w:ascii="宋体" w:hAnsi="宋体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bookmarkStart w:id="29" w:name="_Toc93438962"/>
      <w:r>
        <w:rPr>
          <w:rFonts w:ascii="宋体" w:hAnsi="宋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定性方法性能指标计算表</w:t>
      </w:r>
      <w:bookmarkEnd w:id="28"/>
      <w:bookmarkEnd w:id="29"/>
    </w:p>
    <w:p>
      <w:pPr>
        <w:spacing w:before="156" w:beforeLines="50" w:after="156" w:afterLines="50"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30" w:name="_Toc4952_WPSOffice_Level1"/>
      <w:bookmarkStart w:id="31" w:name="_Toc16121_WPSOffice_Level1"/>
      <w:bookmarkStart w:id="32" w:name="_Toc26872_WPSOffice_Level1"/>
      <w:bookmarkStart w:id="33" w:name="_Toc23946_WPSOffice_Level1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定性方法各个性能指标计算见表A.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730"/>
        </w:tabs>
        <w:spacing w:before="156" w:beforeLines="50" w:after="156" w:afterLines="50"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A.1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定性方法</w:t>
      </w: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性能指标计算方法</w:t>
      </w:r>
    </w:p>
    <w:bookmarkEnd w:id="30"/>
    <w:bookmarkEnd w:id="31"/>
    <w:bookmarkEnd w:id="32"/>
    <w:bookmarkEnd w:id="33"/>
    <w:tbl>
      <w:tblPr>
        <w:tblStyle w:val="29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920"/>
        <w:gridCol w:w="192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样品情况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检测结果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26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N1.=N11+N12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N2.=N21+N22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N.1=N11+N21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N.2=N12+N22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N=N1.+N2.或N.1+N.2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显著性差异（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=（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N12-N21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-1）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/（N12+N21），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自由度（df）=1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灵敏度（p+，%）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p+=N11/N1.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特异性（p-，%）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p-=N22/N2.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假阴性率（pf-，%）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pf-=N12/N1.=100-灵敏度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假阳性率（pf+，%）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pf+=N21/N2.=100-特异性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相对准确度，%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（N11+N22）/(N1.+N2.)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540" w:type="dxa"/>
            <w:gridSpan w:val="4"/>
            <w:shd w:val="clear" w:color="auto" w:fill="auto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由参比方法检验得到的结果或者样品中实际的公议值结果；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由待确认方法检验得到的结果。灵敏度的计算使用确认后的结果。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N：任何特定单元的结果数，第一个下标指行，第二个下标指列。例如：N11表示第一行，第一列，N1.表示所有的第一行，N.2表示所有的第二列；N12表示第一行，第二列。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为方法的检测结果相对准确性的结果，与一致性分析和浓度检测趋势情况综合评价。</w:t>
            </w:r>
          </w:p>
        </w:tc>
      </w:tr>
    </w:tbl>
    <w:p>
      <w:pPr>
        <w:pStyle w:val="21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</w:pPr>
    </w:p>
    <w:p>
      <w:pPr>
        <w:pStyle w:val="21"/>
        <w:rPr>
          <w:rFonts w:hint="eastAsia"/>
        </w:rPr>
      </w:pPr>
    </w:p>
    <w:p>
      <w:pPr>
        <w:pStyle w:val="21"/>
        <w:jc w:val="center"/>
      </w:pPr>
      <w:r>
        <w:t>_________________________________</w:t>
      </w:r>
    </w:p>
    <w:sectPr>
      <w:headerReference r:id="rId8" w:type="even"/>
      <w:footerReference r:id="rId9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</w:pPr>
    <w:r>
      <w:t>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rFonts w:hint="eastAsia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139170"/>
    </w:sdtPr>
    <w:sdtContent>
      <w:p>
        <w:pPr>
          <w:pStyle w:val="1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08946"/>
    </w:sdtPr>
    <w:sdtContent>
      <w:p>
        <w:pPr>
          <w:pStyle w:val="15"/>
          <w:jc w:val="lef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T/SATA</w:t>
    </w:r>
    <w:r>
      <w:rPr>
        <w:rFonts w:hint="eastAsia"/>
      </w:rPr>
      <w:t xml:space="preserve"> </w:t>
    </w:r>
    <w:r>
      <w:t>XXX</w:t>
    </w:r>
    <w:r>
      <w:rPr>
        <w:rFonts w:hint="eastAsia"/>
      </w:rPr>
      <w:t>-20</w:t>
    </w:r>
    <w: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6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5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"/>
  </w:num>
  <w:num w:numId="19">
    <w:abstractNumId w:val="6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683"/>
    <w:rsid w:val="00035925"/>
    <w:rsid w:val="00067CDF"/>
    <w:rsid w:val="00072A4F"/>
    <w:rsid w:val="00074FBE"/>
    <w:rsid w:val="00083A09"/>
    <w:rsid w:val="0009005E"/>
    <w:rsid w:val="00092857"/>
    <w:rsid w:val="000A20A9"/>
    <w:rsid w:val="000A48B1"/>
    <w:rsid w:val="000B3143"/>
    <w:rsid w:val="000C25F8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4540"/>
    <w:rsid w:val="001056DE"/>
    <w:rsid w:val="001058FF"/>
    <w:rsid w:val="001124C0"/>
    <w:rsid w:val="001143D8"/>
    <w:rsid w:val="00122817"/>
    <w:rsid w:val="00126714"/>
    <w:rsid w:val="0013175F"/>
    <w:rsid w:val="0013249C"/>
    <w:rsid w:val="00144285"/>
    <w:rsid w:val="001512B4"/>
    <w:rsid w:val="001620A5"/>
    <w:rsid w:val="00162506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2597"/>
    <w:rsid w:val="001B6DC2"/>
    <w:rsid w:val="001C149C"/>
    <w:rsid w:val="001C21AC"/>
    <w:rsid w:val="001C47BA"/>
    <w:rsid w:val="001C59EA"/>
    <w:rsid w:val="001C7AE9"/>
    <w:rsid w:val="001D406C"/>
    <w:rsid w:val="001D41EE"/>
    <w:rsid w:val="001E0380"/>
    <w:rsid w:val="001E13B1"/>
    <w:rsid w:val="001F2CF6"/>
    <w:rsid w:val="001F3A19"/>
    <w:rsid w:val="00204A47"/>
    <w:rsid w:val="00234467"/>
    <w:rsid w:val="00237D8D"/>
    <w:rsid w:val="00241DA2"/>
    <w:rsid w:val="00247FEE"/>
    <w:rsid w:val="00250E7D"/>
    <w:rsid w:val="0025356C"/>
    <w:rsid w:val="002538AE"/>
    <w:rsid w:val="002565D5"/>
    <w:rsid w:val="002622C0"/>
    <w:rsid w:val="00265803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0AB0"/>
    <w:rsid w:val="00301F39"/>
    <w:rsid w:val="00320CC4"/>
    <w:rsid w:val="00325926"/>
    <w:rsid w:val="00327A8A"/>
    <w:rsid w:val="00336610"/>
    <w:rsid w:val="00343F73"/>
    <w:rsid w:val="00345060"/>
    <w:rsid w:val="00350841"/>
    <w:rsid w:val="0035323B"/>
    <w:rsid w:val="003609D2"/>
    <w:rsid w:val="00363F22"/>
    <w:rsid w:val="00375564"/>
    <w:rsid w:val="0037685F"/>
    <w:rsid w:val="003830FF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06E"/>
    <w:rsid w:val="003C75F3"/>
    <w:rsid w:val="003C78A3"/>
    <w:rsid w:val="003D2EAC"/>
    <w:rsid w:val="003E1867"/>
    <w:rsid w:val="003E5729"/>
    <w:rsid w:val="003F4EE0"/>
    <w:rsid w:val="00402153"/>
    <w:rsid w:val="00402FC1"/>
    <w:rsid w:val="00404056"/>
    <w:rsid w:val="00407B37"/>
    <w:rsid w:val="00425082"/>
    <w:rsid w:val="00430F46"/>
    <w:rsid w:val="00431DEB"/>
    <w:rsid w:val="00442E9D"/>
    <w:rsid w:val="00445265"/>
    <w:rsid w:val="00446B29"/>
    <w:rsid w:val="00453449"/>
    <w:rsid w:val="00453F9A"/>
    <w:rsid w:val="00471E91"/>
    <w:rsid w:val="00474675"/>
    <w:rsid w:val="0047470C"/>
    <w:rsid w:val="004A35F9"/>
    <w:rsid w:val="004A449E"/>
    <w:rsid w:val="004B24C1"/>
    <w:rsid w:val="004C1DEC"/>
    <w:rsid w:val="004C292F"/>
    <w:rsid w:val="00510280"/>
    <w:rsid w:val="00513D73"/>
    <w:rsid w:val="00514A43"/>
    <w:rsid w:val="0051732B"/>
    <w:rsid w:val="005174E5"/>
    <w:rsid w:val="00522393"/>
    <w:rsid w:val="00522620"/>
    <w:rsid w:val="00525656"/>
    <w:rsid w:val="00534C02"/>
    <w:rsid w:val="005358AB"/>
    <w:rsid w:val="0054264B"/>
    <w:rsid w:val="00543786"/>
    <w:rsid w:val="00547870"/>
    <w:rsid w:val="00551878"/>
    <w:rsid w:val="005533D7"/>
    <w:rsid w:val="005703DE"/>
    <w:rsid w:val="00574029"/>
    <w:rsid w:val="005757F8"/>
    <w:rsid w:val="0058464E"/>
    <w:rsid w:val="00593B48"/>
    <w:rsid w:val="0059778B"/>
    <w:rsid w:val="005A01CB"/>
    <w:rsid w:val="005A0BBC"/>
    <w:rsid w:val="005A58FF"/>
    <w:rsid w:val="005A5EAF"/>
    <w:rsid w:val="005A64C0"/>
    <w:rsid w:val="005B3C11"/>
    <w:rsid w:val="005C1C28"/>
    <w:rsid w:val="005C5383"/>
    <w:rsid w:val="005C6DB5"/>
    <w:rsid w:val="005C6DCE"/>
    <w:rsid w:val="005D15CF"/>
    <w:rsid w:val="005E19E7"/>
    <w:rsid w:val="005F0D35"/>
    <w:rsid w:val="005F36FE"/>
    <w:rsid w:val="006166FA"/>
    <w:rsid w:val="0061716C"/>
    <w:rsid w:val="006237CF"/>
    <w:rsid w:val="006243A1"/>
    <w:rsid w:val="00624F90"/>
    <w:rsid w:val="00626518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3FE2"/>
    <w:rsid w:val="006E4A7F"/>
    <w:rsid w:val="00704DF6"/>
    <w:rsid w:val="0070651C"/>
    <w:rsid w:val="007132A3"/>
    <w:rsid w:val="00716421"/>
    <w:rsid w:val="00722C13"/>
    <w:rsid w:val="00724EFB"/>
    <w:rsid w:val="00733513"/>
    <w:rsid w:val="007419C3"/>
    <w:rsid w:val="00743C77"/>
    <w:rsid w:val="00744F22"/>
    <w:rsid w:val="007467A7"/>
    <w:rsid w:val="007469DD"/>
    <w:rsid w:val="0074723C"/>
    <w:rsid w:val="0074741B"/>
    <w:rsid w:val="0074759E"/>
    <w:rsid w:val="007478EA"/>
    <w:rsid w:val="0075415C"/>
    <w:rsid w:val="00760962"/>
    <w:rsid w:val="00763502"/>
    <w:rsid w:val="007720A2"/>
    <w:rsid w:val="00790584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09CB"/>
    <w:rsid w:val="007E105F"/>
    <w:rsid w:val="007E1980"/>
    <w:rsid w:val="007E4B76"/>
    <w:rsid w:val="007E5EA8"/>
    <w:rsid w:val="007F0CF1"/>
    <w:rsid w:val="007F12A5"/>
    <w:rsid w:val="007F4CF1"/>
    <w:rsid w:val="007F758D"/>
    <w:rsid w:val="007F7D52"/>
    <w:rsid w:val="008009FC"/>
    <w:rsid w:val="0080654C"/>
    <w:rsid w:val="008071C6"/>
    <w:rsid w:val="00817A00"/>
    <w:rsid w:val="008250AC"/>
    <w:rsid w:val="00835DB3"/>
    <w:rsid w:val="0083617B"/>
    <w:rsid w:val="008371BD"/>
    <w:rsid w:val="008504A8"/>
    <w:rsid w:val="0085282E"/>
    <w:rsid w:val="0087090D"/>
    <w:rsid w:val="00871811"/>
    <w:rsid w:val="0087198C"/>
    <w:rsid w:val="00872C1F"/>
    <w:rsid w:val="00873B42"/>
    <w:rsid w:val="008856D8"/>
    <w:rsid w:val="00892E82"/>
    <w:rsid w:val="008B0704"/>
    <w:rsid w:val="008B6353"/>
    <w:rsid w:val="008C1B58"/>
    <w:rsid w:val="008C39AE"/>
    <w:rsid w:val="008C590D"/>
    <w:rsid w:val="008C7BBA"/>
    <w:rsid w:val="008E031B"/>
    <w:rsid w:val="008E6BB6"/>
    <w:rsid w:val="008E7029"/>
    <w:rsid w:val="008E7EF6"/>
    <w:rsid w:val="008F1F98"/>
    <w:rsid w:val="008F6758"/>
    <w:rsid w:val="009040DD"/>
    <w:rsid w:val="00905B47"/>
    <w:rsid w:val="00907FFE"/>
    <w:rsid w:val="0091331C"/>
    <w:rsid w:val="009279DE"/>
    <w:rsid w:val="00930116"/>
    <w:rsid w:val="009338DD"/>
    <w:rsid w:val="0094212C"/>
    <w:rsid w:val="00954689"/>
    <w:rsid w:val="009617C9"/>
    <w:rsid w:val="00961C93"/>
    <w:rsid w:val="00965324"/>
    <w:rsid w:val="00965750"/>
    <w:rsid w:val="0097091E"/>
    <w:rsid w:val="009760D3"/>
    <w:rsid w:val="00977132"/>
    <w:rsid w:val="00981A4B"/>
    <w:rsid w:val="00982501"/>
    <w:rsid w:val="00983A3B"/>
    <w:rsid w:val="009877D3"/>
    <w:rsid w:val="00994E8F"/>
    <w:rsid w:val="009951DC"/>
    <w:rsid w:val="009959BB"/>
    <w:rsid w:val="00997158"/>
    <w:rsid w:val="009A3A7C"/>
    <w:rsid w:val="009B2ADB"/>
    <w:rsid w:val="009B603A"/>
    <w:rsid w:val="009B7549"/>
    <w:rsid w:val="009C0B7F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2413"/>
    <w:rsid w:val="00A25C38"/>
    <w:rsid w:val="00A3486F"/>
    <w:rsid w:val="00A36BBE"/>
    <w:rsid w:val="00A4307A"/>
    <w:rsid w:val="00A47EBB"/>
    <w:rsid w:val="00A51CDD"/>
    <w:rsid w:val="00A6730D"/>
    <w:rsid w:val="00A71625"/>
    <w:rsid w:val="00A71B9B"/>
    <w:rsid w:val="00A751C7"/>
    <w:rsid w:val="00A8300D"/>
    <w:rsid w:val="00A87844"/>
    <w:rsid w:val="00AA038C"/>
    <w:rsid w:val="00AA7A09"/>
    <w:rsid w:val="00AB2618"/>
    <w:rsid w:val="00AB3B50"/>
    <w:rsid w:val="00AC05B1"/>
    <w:rsid w:val="00AD356C"/>
    <w:rsid w:val="00AE2914"/>
    <w:rsid w:val="00AE6D15"/>
    <w:rsid w:val="00B03BA9"/>
    <w:rsid w:val="00B04182"/>
    <w:rsid w:val="00B07AE3"/>
    <w:rsid w:val="00B11430"/>
    <w:rsid w:val="00B353EB"/>
    <w:rsid w:val="00B375CE"/>
    <w:rsid w:val="00B439C4"/>
    <w:rsid w:val="00B4535E"/>
    <w:rsid w:val="00B5295D"/>
    <w:rsid w:val="00B52A8C"/>
    <w:rsid w:val="00B636A8"/>
    <w:rsid w:val="00B665C6"/>
    <w:rsid w:val="00B7229B"/>
    <w:rsid w:val="00B75515"/>
    <w:rsid w:val="00B805AF"/>
    <w:rsid w:val="00B869EC"/>
    <w:rsid w:val="00B9397A"/>
    <w:rsid w:val="00B9633D"/>
    <w:rsid w:val="00BA0B75"/>
    <w:rsid w:val="00BA2EBE"/>
    <w:rsid w:val="00BB0F28"/>
    <w:rsid w:val="00BB458A"/>
    <w:rsid w:val="00BC0731"/>
    <w:rsid w:val="00BD00D3"/>
    <w:rsid w:val="00BD1659"/>
    <w:rsid w:val="00BD3AA9"/>
    <w:rsid w:val="00BD4A18"/>
    <w:rsid w:val="00BD6DB2"/>
    <w:rsid w:val="00BE11CF"/>
    <w:rsid w:val="00BE21AB"/>
    <w:rsid w:val="00BE3068"/>
    <w:rsid w:val="00BE55CB"/>
    <w:rsid w:val="00BF617A"/>
    <w:rsid w:val="00BF6F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42D87"/>
    <w:rsid w:val="00C464C5"/>
    <w:rsid w:val="00C601D2"/>
    <w:rsid w:val="00C638B8"/>
    <w:rsid w:val="00C65BCC"/>
    <w:rsid w:val="00C66970"/>
    <w:rsid w:val="00C714B1"/>
    <w:rsid w:val="00C76A9D"/>
    <w:rsid w:val="00C8691C"/>
    <w:rsid w:val="00CA168A"/>
    <w:rsid w:val="00CA357E"/>
    <w:rsid w:val="00CA44F9"/>
    <w:rsid w:val="00CA4A69"/>
    <w:rsid w:val="00CC39F5"/>
    <w:rsid w:val="00CC3E0C"/>
    <w:rsid w:val="00CC58D3"/>
    <w:rsid w:val="00CC784D"/>
    <w:rsid w:val="00CE13F4"/>
    <w:rsid w:val="00CF5AB3"/>
    <w:rsid w:val="00D0337B"/>
    <w:rsid w:val="00D079B2"/>
    <w:rsid w:val="00D114E9"/>
    <w:rsid w:val="00D156FD"/>
    <w:rsid w:val="00D26271"/>
    <w:rsid w:val="00D429C6"/>
    <w:rsid w:val="00D47748"/>
    <w:rsid w:val="00D54CC3"/>
    <w:rsid w:val="00D6041A"/>
    <w:rsid w:val="00D633EB"/>
    <w:rsid w:val="00D82FF7"/>
    <w:rsid w:val="00D847FE"/>
    <w:rsid w:val="00D8724A"/>
    <w:rsid w:val="00D964EA"/>
    <w:rsid w:val="00D966D0"/>
    <w:rsid w:val="00D97F32"/>
    <w:rsid w:val="00DA0C59"/>
    <w:rsid w:val="00DA3991"/>
    <w:rsid w:val="00DA6834"/>
    <w:rsid w:val="00DA69CE"/>
    <w:rsid w:val="00DB0990"/>
    <w:rsid w:val="00DB671F"/>
    <w:rsid w:val="00DB7E6C"/>
    <w:rsid w:val="00DD5A29"/>
    <w:rsid w:val="00DD5D9D"/>
    <w:rsid w:val="00DE35CB"/>
    <w:rsid w:val="00DF21E9"/>
    <w:rsid w:val="00E009FA"/>
    <w:rsid w:val="00E00F14"/>
    <w:rsid w:val="00E06386"/>
    <w:rsid w:val="00E1172F"/>
    <w:rsid w:val="00E24EB4"/>
    <w:rsid w:val="00E320ED"/>
    <w:rsid w:val="00E33AFB"/>
    <w:rsid w:val="00E34218"/>
    <w:rsid w:val="00E3618F"/>
    <w:rsid w:val="00E46282"/>
    <w:rsid w:val="00E5216E"/>
    <w:rsid w:val="00E80209"/>
    <w:rsid w:val="00E8066F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7761"/>
    <w:rsid w:val="00EE2BED"/>
    <w:rsid w:val="00EE374B"/>
    <w:rsid w:val="00F11BB5"/>
    <w:rsid w:val="00F1417B"/>
    <w:rsid w:val="00F21504"/>
    <w:rsid w:val="00F34B99"/>
    <w:rsid w:val="00F52911"/>
    <w:rsid w:val="00F52DAB"/>
    <w:rsid w:val="00F543F0"/>
    <w:rsid w:val="00F61123"/>
    <w:rsid w:val="00F769CA"/>
    <w:rsid w:val="00F81D29"/>
    <w:rsid w:val="00F8609B"/>
    <w:rsid w:val="00F91C4D"/>
    <w:rsid w:val="00F92FD9"/>
    <w:rsid w:val="00FA4FF9"/>
    <w:rsid w:val="00FA6684"/>
    <w:rsid w:val="00FA731E"/>
    <w:rsid w:val="00FB2B38"/>
    <w:rsid w:val="00FB7A10"/>
    <w:rsid w:val="00FC6358"/>
    <w:rsid w:val="00FD01CF"/>
    <w:rsid w:val="00FD231C"/>
    <w:rsid w:val="00FD320D"/>
    <w:rsid w:val="00FD3E3C"/>
    <w:rsid w:val="00FE23DE"/>
    <w:rsid w:val="00FF7F57"/>
    <w:rsid w:val="10DB5D84"/>
    <w:rsid w:val="18F178C8"/>
    <w:rsid w:val="1B8207AE"/>
    <w:rsid w:val="22F95812"/>
    <w:rsid w:val="2EC37B45"/>
    <w:rsid w:val="3238697A"/>
    <w:rsid w:val="325B0375"/>
    <w:rsid w:val="358D1C05"/>
    <w:rsid w:val="39346F94"/>
    <w:rsid w:val="4EB836B2"/>
    <w:rsid w:val="60C6532D"/>
    <w:rsid w:val="63E76F2B"/>
    <w:rsid w:val="65F053A5"/>
    <w:rsid w:val="69DB6EEF"/>
    <w:rsid w:val="755E53EC"/>
    <w:rsid w:val="7AB40C38"/>
    <w:rsid w:val="7D7B6535"/>
    <w:rsid w:val="7F8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5"/>
    <w:semiHidden/>
    <w:unhideWhenUsed/>
    <w:qFormat/>
    <w:uiPriority w:val="0"/>
    <w:rPr>
      <w:sz w:val="18"/>
      <w:szCs w:val="18"/>
    </w:rPr>
  </w:style>
  <w:style w:type="paragraph" w:styleId="15">
    <w:name w:val="footer"/>
    <w:basedOn w:val="1"/>
    <w:link w:val="134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link w:val="133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1"/>
      </w:tabs>
      <w:spacing w:before="78" w:beforeLines="25" w:after="78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2">
    <w:name w:val="endnote reference"/>
    <w:semiHidden/>
    <w:qFormat/>
    <w:uiPriority w:val="0"/>
    <w:rPr>
      <w:vertAlign w:val="superscript"/>
    </w:rPr>
  </w:style>
  <w:style w:type="character" w:styleId="33">
    <w:name w:val="page number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qFormat/>
    <w:uiPriority w:val="0"/>
    <w:rPr>
      <w:color w:val="800080"/>
      <w:u w:val="single"/>
    </w:rPr>
  </w:style>
  <w:style w:type="character" w:styleId="35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1"/>
    <w:next w:val="21"/>
    <w:qFormat/>
    <w:uiPriority w:val="0"/>
    <w:pPr>
      <w:widowControl/>
      <w:numPr>
        <w:ilvl w:val="3"/>
        <w:numId w:val="2"/>
      </w:numPr>
      <w:spacing w:before="156" w:beforeLines="50" w:after="156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  <w:pPr>
      <w:numPr>
        <w:ilvl w:val="0"/>
        <w:numId w:val="9"/>
      </w:numPr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wrap="around"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8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wrap="around" w:vAnchor="page" w:hAnchor="text" w:x="1419"/>
    </w:pPr>
  </w:style>
  <w:style w:type="paragraph" w:customStyle="1" w:styleId="127">
    <w:name w:val="其他实施日期"/>
    <w:basedOn w:val="110"/>
    <w:qFormat/>
    <w:uiPriority w:val="0"/>
    <w:pPr>
      <w:framePr w:wrap="around"/>
    </w:pPr>
  </w:style>
  <w:style w:type="paragraph" w:customStyle="1" w:styleId="128">
    <w:name w:val="封面标准名称2"/>
    <w:basedOn w:val="74"/>
    <w:qFormat/>
    <w:uiPriority w:val="0"/>
    <w:pPr>
      <w:framePr w:wrap="around" w:y="4469"/>
      <w:spacing w:before="630" w:beforeLines="630"/>
    </w:pPr>
  </w:style>
  <w:style w:type="paragraph" w:customStyle="1" w:styleId="129">
    <w:name w:val="封面标准英文名称2"/>
    <w:basedOn w:val="75"/>
    <w:qFormat/>
    <w:uiPriority w:val="0"/>
    <w:pPr>
      <w:framePr w:wrap="around" w:y="4469"/>
    </w:pPr>
  </w:style>
  <w:style w:type="paragraph" w:customStyle="1" w:styleId="130">
    <w:name w:val="封面一致性程度标识2"/>
    <w:basedOn w:val="76"/>
    <w:qFormat/>
    <w:uiPriority w:val="0"/>
    <w:pPr>
      <w:framePr w:wrap="around" w:y="4469"/>
    </w:pPr>
  </w:style>
  <w:style w:type="paragraph" w:customStyle="1" w:styleId="131">
    <w:name w:val="封面标准文稿类别2"/>
    <w:basedOn w:val="77"/>
    <w:qFormat/>
    <w:uiPriority w:val="0"/>
    <w:pPr>
      <w:framePr w:wrap="around" w:y="4469"/>
    </w:pPr>
  </w:style>
  <w:style w:type="paragraph" w:customStyle="1" w:styleId="132">
    <w:name w:val="封面标准文稿编辑信息2"/>
    <w:basedOn w:val="78"/>
    <w:qFormat/>
    <w:uiPriority w:val="0"/>
    <w:pPr>
      <w:framePr w:wrap="around" w:y="4469"/>
    </w:pPr>
  </w:style>
  <w:style w:type="character" w:customStyle="1" w:styleId="133">
    <w:name w:val="页眉 字符"/>
    <w:basedOn w:val="31"/>
    <w:link w:val="16"/>
    <w:qFormat/>
    <w:uiPriority w:val="99"/>
    <w:rPr>
      <w:kern w:val="2"/>
      <w:sz w:val="18"/>
      <w:szCs w:val="18"/>
    </w:rPr>
  </w:style>
  <w:style w:type="character" w:customStyle="1" w:styleId="134">
    <w:name w:val="页脚 字符"/>
    <w:basedOn w:val="31"/>
    <w:link w:val="15"/>
    <w:qFormat/>
    <w:uiPriority w:val="99"/>
    <w:rPr>
      <w:kern w:val="2"/>
      <w:sz w:val="18"/>
      <w:szCs w:val="18"/>
    </w:rPr>
  </w:style>
  <w:style w:type="character" w:customStyle="1" w:styleId="135">
    <w:name w:val="批注框文本 字符"/>
    <w:basedOn w:val="31"/>
    <w:link w:val="14"/>
    <w:semiHidden/>
    <w:qFormat/>
    <w:uiPriority w:val="0"/>
    <w:rPr>
      <w:kern w:val="2"/>
      <w:sz w:val="18"/>
      <w:szCs w:val="18"/>
    </w:rPr>
  </w:style>
  <w:style w:type="paragraph" w:customStyle="1" w:styleId="136">
    <w:name w:val="图表脚注"/>
    <w:next w:val="21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37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C79B4-BE59-4294-A0BC-934C0F1D7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3565</Words>
  <Characters>4277</Characters>
  <Lines>40</Lines>
  <Paragraphs>11</Paragraphs>
  <TotalTime>122</TotalTime>
  <ScaleCrop>false</ScaleCrop>
  <LinksUpToDate>false</LinksUpToDate>
  <CharactersWithSpaces>4421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2022-01-19T01:31:00Z</dcterms:created>
  <dc:creator>CNIS</dc:creator>
  <cp:lastModifiedBy>Toddy</cp:lastModifiedBy>
  <cp:lastPrinted>2022-01-18T10:15:00Z</cp:lastPrinted>
  <dcterms:modified xsi:type="dcterms:W3CDTF">2022-03-23T00:57:19Z</dcterms:modified>
  <dc:title>标准名称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68514A7545964DCDA966B4B6709D3B64</vt:lpwstr>
  </property>
</Properties>
</file>