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  <w:framePr w:wrap="around"/>
        <w:rPr>
          <w:rFonts w:ascii="Times New Roman"/>
        </w:rPr>
      </w:pPr>
      <w:r>
        <w:rPr>
          <w:rFonts w:ascii="Times New Roman"/>
        </w:rPr>
        <w:t>ICS 67.050</w:t>
      </w:r>
    </w:p>
    <w:p>
      <w:pPr>
        <w:pStyle w:val="120"/>
        <w:framePr w:wrap="around"/>
        <w:rPr>
          <w:rFonts w:ascii="Times New Roman"/>
        </w:rPr>
      </w:pPr>
      <w:r>
        <w:rPr>
          <w:rFonts w:ascii="Times New Roman"/>
        </w:rPr>
        <w:t>CCS X 04</w:t>
      </w:r>
    </w:p>
    <w:tbl>
      <w:tblPr>
        <w:tblStyle w:val="30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0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2096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yEkx1Q0CAAAg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K4v7NUAAAAHAQAADwAAAAAAAAABACAAAAAi&#10;AAAAZHJzL2Rvd25yZXYueG1sUEsBAhQAFAAAAAgAh07iQMhJMdUNAgAAIAQAAA4AAAAAAAAAAQAg&#10;AAAAJA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07"/>
        <w:framePr w:w="6798" w:wrap="around" w:x="2760" w:y="2041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pStyle w:val="44"/>
        <w:framePr w:wrap="around"/>
        <w:rPr>
          <w:rFonts w:hAnsi="黑体"/>
        </w:rPr>
      </w:pP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SATA</w:t>
      </w:r>
      <w:r>
        <w:rPr>
          <w:rFonts w:hAnsi="黑体"/>
        </w:rPr>
        <w:t xml:space="preserve"> XXX—2022</w:t>
      </w:r>
    </w:p>
    <w:tbl>
      <w:tblPr>
        <w:tblStyle w:val="30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3"/>
              <w:framePr w:wrap="around"/>
              <w:wordWrap w:val="0"/>
              <w:ind w:right="210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l1ToM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4"/>
        <w:framePr w:wrap="around"/>
        <w:rPr>
          <w:rFonts w:hAnsi="黑体"/>
        </w:rPr>
      </w:pPr>
    </w:p>
    <w:p>
      <w:pPr>
        <w:pStyle w:val="44"/>
        <w:framePr w:wrap="around"/>
        <w:rPr>
          <w:rFonts w:hAnsi="黑体"/>
        </w:rPr>
      </w:pPr>
    </w:p>
    <w:p>
      <w:pPr>
        <w:pStyle w:val="75"/>
        <w:framePr w:wrap="around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蔬菜水果中啶虫脒、阿维菌素、戊唑醇和烯酰吗啉的多残留快速检测 </w:t>
      </w:r>
    </w:p>
    <w:p>
      <w:pPr>
        <w:pStyle w:val="75"/>
        <w:framePr w:wrap="around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胶体金免疫层析法</w:t>
      </w:r>
      <w:r>
        <w:t xml:space="preserve"> </w:t>
      </w:r>
    </w:p>
    <w:p>
      <w:pPr>
        <w:pStyle w:val="76"/>
        <w:framePr w:wrap="around"/>
      </w:pPr>
      <w:r>
        <w:t xml:space="preserve">Rapid detection of </w:t>
      </w:r>
      <w:r>
        <w:rPr>
          <w:rFonts w:hint="eastAsia" w:eastAsia="宋体"/>
        </w:rPr>
        <w:t>a</w:t>
      </w:r>
      <w:r>
        <w:rPr>
          <w:rFonts w:eastAsia="宋体"/>
        </w:rPr>
        <w:t>cetamiprid</w:t>
      </w:r>
      <w:r>
        <w:rPr>
          <w:rFonts w:hint="eastAsia" w:eastAsia="宋体"/>
          <w:sz w:val="24"/>
          <w:szCs w:val="24"/>
        </w:rPr>
        <w:t>,</w:t>
      </w:r>
      <w:r>
        <w:rPr>
          <w:rFonts w:eastAsia="宋体"/>
          <w:sz w:val="24"/>
          <w:szCs w:val="24"/>
        </w:rPr>
        <w:t xml:space="preserve"> </w:t>
      </w:r>
      <w:r>
        <w:rPr>
          <w:rFonts w:eastAsia="宋体"/>
        </w:rPr>
        <w:t>abamectin</w:t>
      </w:r>
      <w:r>
        <w:rPr>
          <w:rFonts w:hint="eastAsia" w:eastAsia="宋体"/>
          <w:sz w:val="24"/>
          <w:szCs w:val="24"/>
        </w:rPr>
        <w:t>,</w:t>
      </w:r>
      <w:r>
        <w:rPr>
          <w:rFonts w:eastAsia="宋体"/>
          <w:sz w:val="24"/>
          <w:szCs w:val="24"/>
        </w:rPr>
        <w:t xml:space="preserve"> </w:t>
      </w:r>
      <w:r>
        <w:fldChar w:fldCharType="begin"/>
      </w:r>
      <w:r>
        <w:instrText xml:space="preserve"> HYPERLINK "https://m.chemsrc.com/en/cas/107534-96-3_441068.html" \t "https://m.chemsrc.com/cas/_blank" </w:instrText>
      </w:r>
      <w:r>
        <w:fldChar w:fldCharType="separate"/>
      </w:r>
      <w:r>
        <w:rPr>
          <w:rStyle w:val="36"/>
          <w:rFonts w:eastAsia="Helvetica"/>
          <w:color w:val="363636"/>
          <w:szCs w:val="28"/>
          <w:u w:val="none"/>
        </w:rPr>
        <w:t>tebuconazole</w:t>
      </w:r>
      <w:r>
        <w:rPr>
          <w:rStyle w:val="36"/>
          <w:rFonts w:eastAsia="Helvetica"/>
          <w:color w:val="363636"/>
          <w:szCs w:val="28"/>
          <w:u w:val="none"/>
        </w:rPr>
        <w:fldChar w:fldCharType="end"/>
      </w:r>
      <w:r>
        <w:rPr>
          <w:rFonts w:hint="eastAsia" w:eastAsia="宋体"/>
          <w:color w:val="363636"/>
          <w:sz w:val="24"/>
          <w:szCs w:val="24"/>
        </w:rPr>
        <w:t xml:space="preserve"> </w:t>
      </w:r>
      <w:r>
        <w:rPr>
          <w:rFonts w:hint="eastAsia" w:eastAsia="宋体"/>
        </w:rPr>
        <w:t>and</w:t>
      </w:r>
      <w:r>
        <w:rPr>
          <w:rFonts w:eastAsia="宋体"/>
        </w:rPr>
        <w:t xml:space="preserve"> </w:t>
      </w:r>
      <w:r>
        <w:rPr>
          <w:rFonts w:hint="eastAsia" w:eastAsia="宋体"/>
        </w:rPr>
        <w:t>d</w:t>
      </w:r>
      <w:r>
        <w:rPr>
          <w:rFonts w:eastAsia="宋体"/>
        </w:rPr>
        <w:t>imethomorph</w:t>
      </w:r>
      <w:r>
        <w:t xml:space="preserve"> residues in vegetables and fruits</w:t>
      </w:r>
    </w:p>
    <w:p>
      <w:pPr>
        <w:pStyle w:val="76"/>
        <w:framePr w:wrap="around"/>
      </w:pPr>
      <w:r>
        <w:t>— colloidal gold immunochromatography</w:t>
      </w:r>
    </w:p>
    <w:p>
      <w:pPr>
        <w:pStyle w:val="77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（征求意见稿）"/>
            </w:textInput>
          </w:ffData>
        </w:fldChar>
      </w:r>
      <w:bookmarkStart w:id="0" w:name="YZBS"/>
      <w:r>
        <w:instrText xml:space="preserve"> FORMTEXT </w:instrText>
      </w:r>
      <w:r>
        <w:fldChar w:fldCharType="separate"/>
      </w:r>
      <w:r>
        <w:rPr>
          <w:rFonts w:hint="eastAsia"/>
        </w:rPr>
        <w:t>（征求意见稿）</w:t>
      </w:r>
      <w:r>
        <w:fldChar w:fldCharType="end"/>
      </w:r>
      <w:bookmarkEnd w:id="0"/>
    </w:p>
    <w:tbl>
      <w:tblPr>
        <w:tblStyle w:val="30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bG1Pug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G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bG1Pug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Bxxlwg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9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27"/>
        <w:framePr w:wrap="around" w:hAnchor="page" w:x="1336" w:y="14086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Ddlmv3KAQAAo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8"/>
        <w:framePr w:wrap="around" w:hAnchor="page" w:x="6991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pStyle w:val="108"/>
        <w:framePr w:wrap="around"/>
      </w:pPr>
      <w:r>
        <w:rPr>
          <w:rFonts w:hint="eastAsia"/>
        </w:rPr>
        <w:t>深圳市分析测试协会</w:t>
      </w:r>
      <w:r>
        <w:rPr>
          <w:rFonts w:hAnsi="黑体"/>
        </w:rPr>
        <w:t>   </w:t>
      </w:r>
      <w:r>
        <w:rPr>
          <w:rStyle w:val="70"/>
          <w:rFonts w:hint="eastAsia"/>
        </w:rPr>
        <w:t>发布</w:t>
      </w:r>
    </w:p>
    <w:p>
      <w:pPr>
        <w:pStyle w:val="22"/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aX8Ks8gBAACg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7"/>
      </w:pPr>
      <w:bookmarkStart w:id="5" w:name="_Toc93438949"/>
      <w:bookmarkStart w:id="6" w:name="_Toc26175098"/>
      <w:bookmarkStart w:id="7" w:name="_Toc26542365"/>
      <w:r>
        <w:rPr>
          <w:rFonts w:hint="eastAsia"/>
        </w:rPr>
        <w:t>目</w:t>
      </w:r>
      <w:bookmarkStart w:id="8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5"/>
      <w:bookmarkEnd w:id="8"/>
    </w:p>
    <w:p>
      <w:pPr>
        <w:pStyle w:val="18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"_Toc93438949" </w:instrText>
      </w:r>
      <w:r>
        <w:fldChar w:fldCharType="separate"/>
      </w:r>
      <w:r>
        <w:rPr>
          <w:rStyle w:val="36"/>
        </w:rPr>
        <w:t>目次</w:t>
      </w:r>
      <w:r>
        <w:tab/>
      </w:r>
      <w:r>
        <w:fldChar w:fldCharType="begin"/>
      </w:r>
      <w:r>
        <w:instrText xml:space="preserve"> PAGEREF _Toc93438949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8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"_Toc93438950" </w:instrText>
      </w:r>
      <w:r>
        <w:fldChar w:fldCharType="separate"/>
      </w:r>
      <w:r>
        <w:rPr>
          <w:rStyle w:val="36"/>
        </w:rPr>
        <w:t>前言</w:t>
      </w:r>
      <w:r>
        <w:tab/>
      </w:r>
      <w:r>
        <w:fldChar w:fldCharType="begin"/>
      </w:r>
      <w:r>
        <w:instrText xml:space="preserve"> PAGEREF _Toc93438950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"_Toc93438951" </w:instrText>
      </w:r>
      <w:r>
        <w:fldChar w:fldCharType="separate"/>
      </w:r>
      <w:r>
        <w:rPr>
          <w:rStyle w:val="36"/>
        </w:rPr>
        <w:t>1 范围</w:t>
      </w:r>
      <w:r>
        <w:tab/>
      </w:r>
      <w:r>
        <w:fldChar w:fldCharType="begin"/>
      </w:r>
      <w:r>
        <w:instrText xml:space="preserve"> PAGEREF _Toc93438951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"_Toc93438952" </w:instrText>
      </w:r>
      <w:r>
        <w:fldChar w:fldCharType="separate"/>
      </w:r>
      <w:r>
        <w:rPr>
          <w:rStyle w:val="36"/>
        </w:rPr>
        <w:t>2 规范性引用文件</w:t>
      </w:r>
      <w:r>
        <w:tab/>
      </w:r>
      <w:r>
        <w:fldChar w:fldCharType="begin"/>
      </w:r>
      <w:r>
        <w:instrText xml:space="preserve"> PAGEREF _Toc93438952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"_Toc93438953" </w:instrText>
      </w:r>
      <w:r>
        <w:fldChar w:fldCharType="separate"/>
      </w:r>
      <w:r>
        <w:rPr>
          <w:rStyle w:val="36"/>
        </w:rPr>
        <w:t>3 原理</w:t>
      </w:r>
      <w:r>
        <w:tab/>
      </w:r>
      <w:r>
        <w:fldChar w:fldCharType="begin"/>
      </w:r>
      <w:r>
        <w:instrText xml:space="preserve"> PAGEREF _Toc93438953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"_Toc93438954" </w:instrText>
      </w:r>
      <w:r>
        <w:fldChar w:fldCharType="separate"/>
      </w:r>
      <w:r>
        <w:rPr>
          <w:rStyle w:val="36"/>
        </w:rPr>
        <w:t>4 试剂与材料</w:t>
      </w:r>
      <w:r>
        <w:tab/>
      </w:r>
      <w:r>
        <w:fldChar w:fldCharType="begin"/>
      </w:r>
      <w:r>
        <w:instrText xml:space="preserve"> PAGEREF _Toc93438954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"_Toc93438955" </w:instrText>
      </w:r>
      <w:r>
        <w:fldChar w:fldCharType="separate"/>
      </w:r>
      <w:r>
        <w:rPr>
          <w:rStyle w:val="36"/>
        </w:rPr>
        <w:t>5 仪器与设备</w:t>
      </w:r>
      <w:r>
        <w:tab/>
      </w:r>
      <w:r>
        <w:fldChar w:fldCharType="begin"/>
      </w:r>
      <w:r>
        <w:instrText xml:space="preserve"> PAGEREF _Toc93438955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"_Toc93438956" </w:instrText>
      </w:r>
      <w:r>
        <w:fldChar w:fldCharType="separate"/>
      </w:r>
      <w:r>
        <w:rPr>
          <w:rStyle w:val="36"/>
        </w:rPr>
        <w:t>6 分析步骤</w:t>
      </w:r>
      <w:r>
        <w:tab/>
      </w:r>
      <w:r>
        <w:fldChar w:fldCharType="begin"/>
      </w:r>
      <w:r>
        <w:instrText xml:space="preserve"> PAGEREF _Toc93438956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"_Toc93438957" </w:instrText>
      </w:r>
      <w:r>
        <w:fldChar w:fldCharType="separate"/>
      </w:r>
      <w:r>
        <w:rPr>
          <w:rStyle w:val="36"/>
        </w:rPr>
        <w:t>7 结果判定</w:t>
      </w:r>
      <w:r>
        <w:tab/>
      </w:r>
      <w:r>
        <w:fldChar w:fldCharType="begin"/>
      </w:r>
      <w:r>
        <w:instrText xml:space="preserve"> PAGEREF _Toc93438957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"_Toc93438958" </w:instrText>
      </w:r>
      <w:r>
        <w:fldChar w:fldCharType="separate"/>
      </w:r>
      <w:r>
        <w:rPr>
          <w:rStyle w:val="36"/>
        </w:rPr>
        <w:t>8 结论</w:t>
      </w:r>
      <w:r>
        <w:tab/>
      </w:r>
      <w:r>
        <w:fldChar w:fldCharType="begin"/>
      </w:r>
      <w:r>
        <w:instrText xml:space="preserve"> PAGEREF _Toc93438958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"_Toc93438959" </w:instrText>
      </w:r>
      <w:r>
        <w:fldChar w:fldCharType="separate"/>
      </w:r>
      <w:r>
        <w:rPr>
          <w:rStyle w:val="36"/>
        </w:rPr>
        <w:t>9 性能指标</w:t>
      </w:r>
      <w:r>
        <w:tab/>
      </w:r>
      <w:r>
        <w:fldChar w:fldCharType="begin"/>
      </w:r>
      <w:r>
        <w:instrText xml:space="preserve"> PAGEREF _Toc93438959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"_Toc93438960" </w:instrText>
      </w:r>
      <w:r>
        <w:fldChar w:fldCharType="separate"/>
      </w:r>
      <w:r>
        <w:rPr>
          <w:rStyle w:val="36"/>
        </w:rPr>
        <w:t>10 其他</w:t>
      </w:r>
      <w:r>
        <w:tab/>
      </w:r>
      <w:r>
        <w:fldChar w:fldCharType="begin"/>
      </w:r>
      <w:r>
        <w:instrText xml:space="preserve"> PAGEREF _Toc93438960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"_Toc93438961" </w:instrText>
      </w:r>
      <w:r>
        <w:fldChar w:fldCharType="separate"/>
      </w:r>
      <w:r>
        <w:rPr>
          <w:rStyle w:val="36"/>
        </w:rPr>
        <w:t>附录</w:t>
      </w:r>
      <w:r>
        <w:rPr>
          <w:rStyle w:val="36"/>
          <w:rFonts w:ascii="Times New Roman"/>
        </w:rPr>
        <w:t>A</w:t>
      </w:r>
      <w:r>
        <w:tab/>
      </w:r>
      <w:r>
        <w:fldChar w:fldCharType="begin"/>
      </w:r>
      <w:r>
        <w:instrText xml:space="preserve"> PAGEREF _Toc93438961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"_Toc93438962" </w:instrText>
      </w:r>
      <w:r>
        <w:fldChar w:fldCharType="separate"/>
      </w:r>
      <w:r>
        <w:rPr>
          <w:rStyle w:val="36"/>
          <w:rFonts w:hAnsi="宋体" w:cs="黑体"/>
        </w:rPr>
        <w:t>定性方法性能指标计算表</w:t>
      </w:r>
      <w:r>
        <w:tab/>
      </w:r>
      <w:r>
        <w:fldChar w:fldCharType="begin"/>
      </w:r>
      <w:r>
        <w:instrText xml:space="preserve"> PAGEREF _Toc93438962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2"/>
      </w:pPr>
      <w:r>
        <w:rPr>
          <w:kern w:val="2"/>
          <w:szCs w:val="21"/>
        </w:rPr>
        <w:fldChar w:fldCharType="end"/>
      </w:r>
    </w:p>
    <w:p>
      <w:pPr>
        <w:pStyle w:val="109"/>
        <w:tabs>
          <w:tab w:val="left" w:pos="490"/>
          <w:tab w:val="center" w:pos="4677"/>
        </w:tabs>
        <w:jc w:val="left"/>
      </w:pPr>
      <w:r>
        <w:tab/>
      </w:r>
      <w:r>
        <w:tab/>
      </w:r>
      <w:bookmarkStart w:id="9" w:name="_Toc93438950"/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6"/>
      <w:bookmarkEnd w:id="7"/>
      <w:bookmarkEnd w:id="9"/>
      <w:bookmarkEnd w:id="10"/>
    </w:p>
    <w:p>
      <w:pPr>
        <w:pStyle w:val="22"/>
      </w:pPr>
      <w:r>
        <w:rPr>
          <w:rFonts w:hint="eastAsia"/>
        </w:rPr>
        <w:t>本文件按照GB/T 1.1—2020《标准化工作导则</w:t>
      </w:r>
      <w:r>
        <w:t xml:space="preserve">  </w:t>
      </w:r>
      <w:r>
        <w:rPr>
          <w:rFonts w:hint="eastAsia"/>
        </w:rPr>
        <w:t>第1部分：标准化文件的结构和起草规则》的规定起草。</w:t>
      </w:r>
    </w:p>
    <w:p>
      <w:pPr>
        <w:pStyle w:val="22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2"/>
      </w:pPr>
      <w:r>
        <w:rPr>
          <w:rFonts w:hint="eastAsia"/>
        </w:rPr>
        <w:t>本文件由深圳市易瑞生物技术股份有限公司提出。</w:t>
      </w:r>
    </w:p>
    <w:p>
      <w:pPr>
        <w:pStyle w:val="22"/>
      </w:pPr>
      <w:r>
        <w:rPr>
          <w:rFonts w:hint="eastAsia"/>
        </w:rPr>
        <w:t>本文件由深圳市分析测试协会归口。</w:t>
      </w:r>
    </w:p>
    <w:p>
      <w:pPr>
        <w:pStyle w:val="22"/>
      </w:pPr>
      <w:r>
        <w:rPr>
          <w:rFonts w:hint="eastAsia"/>
        </w:rPr>
        <w:t>本文件起草单位：深圳市易瑞生物技术股份有限公司、深圳海关食品检验检疫技术中心、深圳市检验检疫科学研究院。</w:t>
      </w:r>
    </w:p>
    <w:p>
      <w:pPr>
        <w:pStyle w:val="22"/>
      </w:pPr>
      <w:r>
        <w:rPr>
          <w:rFonts w:hint="eastAsia"/>
        </w:rPr>
        <w:t>本文件主要起草人：付辉、林泳欣、陈嘉慧、马涛、蔡春霞、古俊、彭斌、张鑫、黄佳祈</w:t>
      </w:r>
      <w:bookmarkStart w:id="34" w:name="_GoBack"/>
      <w:bookmarkEnd w:id="34"/>
      <w:r>
        <w:rPr>
          <w:rFonts w:hint="eastAsia"/>
        </w:rPr>
        <w:t>。</w:t>
      </w:r>
    </w:p>
    <w:p>
      <w:pPr>
        <w:pStyle w:val="22"/>
        <w:rPr>
          <w:rFonts w:ascii="黑体"/>
        </w:rPr>
      </w:pPr>
      <w:r>
        <w:rPr>
          <w:rFonts w:hint="eastAsia"/>
        </w:rPr>
        <w:t>本文件</w:t>
      </w:r>
      <w:r>
        <w:t>为首次发布。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cs="宋体"/>
          <w:szCs w:val="21"/>
        </w:rPr>
        <w:sectPr>
          <w:headerReference r:id="rId6" w:type="default"/>
          <w:footerReference r:id="rId7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7"/>
        <w:ind w:left="-2" w:leftChars="-135" w:hanging="281" w:hangingChars="88"/>
        <w:outlineLvl w:val="9"/>
      </w:pPr>
      <w:r>
        <w:rPr>
          <w:rFonts w:hint="eastAsia"/>
        </w:rPr>
        <w:t>蔬菜水果中啶虫脒、阿维菌素、戊唑醇和烯酰吗啉的多残留快速检测    胶体金免疫层析法</w:t>
      </w:r>
    </w:p>
    <w:p>
      <w:pPr>
        <w:pStyle w:val="42"/>
      </w:pPr>
      <w:bookmarkStart w:id="11" w:name="_Toc26542367"/>
      <w:bookmarkStart w:id="12" w:name="_Toc26175100"/>
      <w:bookmarkStart w:id="13" w:name="_Toc93438951"/>
      <w:r>
        <w:rPr>
          <w:rFonts w:hint="eastAsia"/>
        </w:rPr>
        <w:t>范围</w:t>
      </w:r>
      <w:bookmarkEnd w:id="11"/>
      <w:bookmarkEnd w:id="12"/>
      <w:bookmarkEnd w:id="13"/>
    </w:p>
    <w:p>
      <w:pPr>
        <w:pStyle w:val="22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本文件规定了蔬菜水果中啶虫脒、阿维菌素、戊唑醇和烯酰吗啉的多残留胶体金免疫层析快速检测的原理、试剂与材料、仪器与设备、分析步骤、结果判定、结论、性能指标。</w:t>
      </w:r>
    </w:p>
    <w:p>
      <w:pPr>
        <w:pStyle w:val="22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本文件适用于蔬菜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大蒜、洋葱、葱、结球甘蓝、青花菜、芹菜、茄子、食荚豌豆、苦瓜</w:t>
      </w:r>
      <w:r>
        <w:rPr>
          <w:rFonts w:ascii="Times New Roman"/>
          <w:kern w:val="2"/>
          <w:szCs w:val="21"/>
        </w:rPr>
        <w:t>)</w:t>
      </w:r>
      <w:r>
        <w:rPr>
          <w:rFonts w:hint="eastAsia" w:ascii="Times New Roman"/>
          <w:szCs w:val="21"/>
        </w:rPr>
        <w:t>、水果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番木瓜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中啶虫脒、阿维菌素、戊唑醇和烯酰吗啉残留</w:t>
      </w:r>
      <w:r>
        <w:rPr>
          <w:rFonts w:hint="eastAsia" w:ascii="Times New Roman"/>
          <w:szCs w:val="21"/>
        </w:rPr>
        <w:t>量的快速定性检测</w:t>
      </w:r>
      <w:r>
        <w:rPr>
          <w:rFonts w:ascii="Times New Roman"/>
          <w:szCs w:val="21"/>
        </w:rPr>
        <w:t>。</w:t>
      </w:r>
    </w:p>
    <w:p>
      <w:pPr>
        <w:pStyle w:val="42"/>
      </w:pPr>
      <w:bookmarkStart w:id="14" w:name="_Toc26175101"/>
      <w:bookmarkStart w:id="15" w:name="_Toc26542368"/>
      <w:bookmarkStart w:id="16" w:name="_Toc93438952"/>
      <w:r>
        <w:rPr>
          <w:rFonts w:hint="eastAsia"/>
        </w:rPr>
        <w:t>规范性引用文件</w:t>
      </w:r>
      <w:bookmarkEnd w:id="14"/>
      <w:bookmarkEnd w:id="15"/>
      <w:bookmarkEnd w:id="16"/>
    </w:p>
    <w:p>
      <w:pPr>
        <w:pStyle w:val="22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2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GB/T 6682  分析实验室用水规格和实验方法</w:t>
      </w:r>
    </w:p>
    <w:p>
      <w:pPr>
        <w:pStyle w:val="22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食药监办科[2017]43号  食品快速检测方法评价技术规范</w:t>
      </w:r>
    </w:p>
    <w:p>
      <w:pPr>
        <w:pStyle w:val="42"/>
      </w:pPr>
      <w:bookmarkStart w:id="17" w:name="_Toc93438953"/>
      <w:r>
        <w:rPr>
          <w:rFonts w:hint="eastAsia"/>
        </w:rPr>
        <w:t>原理</w:t>
      </w:r>
      <w:bookmarkEnd w:id="17"/>
    </w:p>
    <w:p>
      <w:pPr>
        <w:pStyle w:val="22"/>
      </w:pPr>
      <w:r>
        <w:rPr>
          <w:rFonts w:hint="eastAsia"/>
        </w:rPr>
        <w:t>本方法采用竞争抑制免疫层析原理。样品中的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目标物</w:t>
      </w:r>
      <w:r>
        <w:rPr>
          <w:rFonts w:hint="eastAsia"/>
        </w:rPr>
        <w:t>经提取后与胶体金标记的特异性抗体结合，抑制了抗体和试纸条中检测线（T线）上抗原的结合，从而导致检测线（T线）颜色深浅的变化。通过检测线（T线）与质控线（C线）颜色深浅比较，对样品中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目标物</w:t>
      </w:r>
      <w:r>
        <w:rPr>
          <w:rFonts w:hint="eastAsia"/>
        </w:rPr>
        <w:t>进行定性判定。</w:t>
      </w:r>
    </w:p>
    <w:p>
      <w:pPr>
        <w:pStyle w:val="42"/>
      </w:pPr>
      <w:bookmarkStart w:id="18" w:name="_Toc93438954"/>
      <w:r>
        <w:rPr>
          <w:rFonts w:hint="eastAsia"/>
        </w:rPr>
        <w:t>试剂与材料</w:t>
      </w:r>
      <w:bookmarkEnd w:id="18"/>
    </w:p>
    <w:p>
      <w:pPr>
        <w:pStyle w:val="39"/>
      </w:pPr>
      <w:r>
        <w:rPr>
          <w:rFonts w:hint="eastAsia"/>
        </w:rPr>
        <w:t>试剂</w:t>
      </w:r>
    </w:p>
    <w:p>
      <w:pPr>
        <w:pStyle w:val="22"/>
      </w:pPr>
      <w:r>
        <w:rPr>
          <w:rFonts w:hint="eastAsia"/>
        </w:rPr>
        <w:t>除另有说明外，所有试剂均为分析纯，实验室用水应符合GB/T 6682中二级水的要求。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氯化钠（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NaCl）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4.1.2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十二水合磷酸氢二钠（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·12H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二水合磷酸二氢钠（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4.1.4</w:t>
      </w:r>
      <w:r>
        <w:rPr>
          <w:rFonts w:hint="eastAsia"/>
          <w:szCs w:val="21"/>
        </w:rPr>
        <w:t xml:space="preserve">  丙酮（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COCH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）。</w:t>
      </w:r>
    </w:p>
    <w:p>
      <w:pPr>
        <w:pStyle w:val="39"/>
      </w:pPr>
      <w:r>
        <w:t>试剂</w:t>
      </w:r>
      <w:r>
        <w:rPr>
          <w:rFonts w:hint="eastAsia"/>
        </w:rPr>
        <w:t>配制</w:t>
      </w:r>
    </w:p>
    <w:p>
      <w:pPr>
        <w:spacing w:line="320" w:lineRule="exact"/>
        <w:ind w:firstLine="420" w:firstLineChars="200"/>
        <w:rPr>
          <w:szCs w:val="22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</w:t>
      </w:r>
      <w:r>
        <w:t xml:space="preserve">0.1 </w:t>
      </w:r>
      <w:r>
        <w:rPr>
          <w:rFonts w:hint="eastAsia"/>
        </w:rPr>
        <w:t>m</w:t>
      </w:r>
      <w:r>
        <w:t>mo</w:t>
      </w:r>
      <w:r>
        <w:rPr>
          <w:rFonts w:hint="eastAsia"/>
        </w:rPr>
        <w:t>l</w:t>
      </w:r>
      <w:r>
        <w:t>/L磷酸盐缓冲溶液</w:t>
      </w:r>
      <w:r>
        <w:rPr>
          <w:rFonts w:hint="eastAsia"/>
        </w:rPr>
        <w:t>，pH值为8.0</w:t>
      </w:r>
      <w:r>
        <w:rPr>
          <w:szCs w:val="21"/>
        </w:rPr>
        <w:t>)</w:t>
      </w:r>
      <w:r>
        <w:t>：准确称取</w:t>
      </w:r>
      <w:r>
        <w:rPr>
          <w:szCs w:val="22"/>
        </w:rPr>
        <w:t>氯化钠</w:t>
      </w:r>
      <w:r>
        <w:rPr>
          <w:szCs w:val="21"/>
        </w:rPr>
        <w:t>(</w:t>
      </w:r>
      <w:r>
        <w:rPr>
          <w:szCs w:val="22"/>
        </w:rPr>
        <w:t>4.1.1</w:t>
      </w:r>
      <w:r>
        <w:rPr>
          <w:szCs w:val="21"/>
        </w:rPr>
        <w:t>)</w:t>
      </w:r>
      <w:r>
        <w:t>9 g、十二水合磷酸氢二钠</w:t>
      </w:r>
      <w:r>
        <w:rPr>
          <w:szCs w:val="21"/>
        </w:rPr>
        <w:t>(</w:t>
      </w:r>
      <w:r>
        <w:rPr>
          <w:szCs w:val="22"/>
        </w:rPr>
        <w:t>4.1.2</w:t>
      </w:r>
      <w:r>
        <w:rPr>
          <w:szCs w:val="21"/>
        </w:rPr>
        <w:t>)</w:t>
      </w:r>
      <w:r>
        <w:t>6 g、二水合磷酸二氢钠</w:t>
      </w:r>
      <w:r>
        <w:rPr>
          <w:szCs w:val="21"/>
        </w:rPr>
        <w:t>(</w:t>
      </w:r>
      <w:r>
        <w:rPr>
          <w:szCs w:val="22"/>
        </w:rPr>
        <w:t>4.1.3</w:t>
      </w:r>
      <w:r>
        <w:rPr>
          <w:szCs w:val="21"/>
        </w:rPr>
        <w:t>)</w:t>
      </w:r>
      <w:r>
        <w:t>0.4 g，</w:t>
      </w:r>
      <w:r>
        <w:rPr>
          <w:rFonts w:hint="eastAsia"/>
          <w:szCs w:val="22"/>
        </w:rPr>
        <w:t>用水</w:t>
      </w:r>
      <w:r>
        <w:rPr>
          <w:szCs w:val="22"/>
        </w:rPr>
        <w:t>溶解</w:t>
      </w:r>
      <w:r>
        <w:rPr>
          <w:rFonts w:hint="eastAsia"/>
          <w:szCs w:val="22"/>
        </w:rPr>
        <w:t>并</w:t>
      </w:r>
      <w:r>
        <w:rPr>
          <w:szCs w:val="22"/>
        </w:rPr>
        <w:t>定容至100 mL，即为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2"/>
        </w:rPr>
        <w:t>。或使用胶体金免疫层析检测试剂盒专用</w:t>
      </w:r>
      <w:r>
        <w:rPr>
          <w:rFonts w:hint="eastAsia"/>
          <w:szCs w:val="22"/>
        </w:rPr>
        <w:t>缓冲液</w:t>
      </w:r>
      <w:r>
        <w:rPr>
          <w:szCs w:val="22"/>
        </w:rPr>
        <w:t>。</w:t>
      </w:r>
    </w:p>
    <w:p>
      <w:pPr>
        <w:pStyle w:val="39"/>
        <w:numPr>
          <w:ilvl w:val="1"/>
          <w:numId w:val="19"/>
        </w:numPr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hAnsi="黑体"/>
          <w:color w:val="000000" w:themeColor="text1"/>
          <w14:textFill>
            <w14:solidFill>
              <w14:schemeClr w14:val="tx1"/>
            </w14:solidFill>
          </w14:textFill>
        </w:rPr>
        <w:t>参考物质</w:t>
      </w:r>
    </w:p>
    <w:p>
      <w:pPr>
        <w:adjustRightInd w:val="0"/>
        <w:snapToGrid w:val="0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啶虫脒、阿维菌素、戊唑醇、烯酰吗啉的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中文名称、英文名称、CAS登录号、分子式、相对分子量见表1，纯度≥9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%。</w:t>
      </w:r>
    </w:p>
    <w:p>
      <w:pPr>
        <w:pStyle w:val="99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 xml:space="preserve">表1  </w:t>
      </w:r>
      <w:r>
        <w:rPr>
          <w:rFonts w:hint="eastAsia"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参考</w:t>
      </w: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物质信息表</w:t>
      </w:r>
    </w:p>
    <w:tbl>
      <w:tblPr>
        <w:tblStyle w:val="30"/>
        <w:tblW w:w="8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160"/>
        <w:gridCol w:w="1572"/>
        <w:gridCol w:w="1567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0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英文名称</w:t>
            </w:r>
          </w:p>
        </w:tc>
        <w:tc>
          <w:tcPr>
            <w:tcW w:w="1572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CAS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登录号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分子式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相对分子量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啶虫脒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Acetamiprid</w:t>
            </w:r>
          </w:p>
        </w:tc>
        <w:tc>
          <w:tcPr>
            <w:tcW w:w="157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135410-20-7</w:t>
            </w:r>
          </w:p>
        </w:tc>
        <w:tc>
          <w:tcPr>
            <w:tcW w:w="156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10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vertAlign w:val="subscript"/>
              </w:rPr>
              <w:t>11</w:t>
            </w:r>
            <w:r>
              <w:rPr>
                <w:sz w:val="18"/>
                <w:szCs w:val="18"/>
              </w:rPr>
              <w:t>ClN</w:t>
            </w:r>
            <w:r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  <w:szCs w:val="18"/>
              </w:rPr>
              <w:t>222.67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阿维菌素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Abamectin</w:t>
            </w:r>
          </w:p>
        </w:tc>
        <w:tc>
          <w:tcPr>
            <w:tcW w:w="157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71751-41-2</w:t>
            </w:r>
          </w:p>
        </w:tc>
        <w:tc>
          <w:tcPr>
            <w:tcW w:w="156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49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vertAlign w:val="subscript"/>
              </w:rPr>
              <w:t>74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戊唑醇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"https://m.chemsrc.com/en/cas/107534-96-3_441068.html" \t "https://m.chemsrc.com/cas/_blank" </w:instrText>
            </w:r>
            <w:r>
              <w:fldChar w:fldCharType="separate"/>
            </w:r>
            <w:r>
              <w:rPr>
                <w:rStyle w:val="36"/>
                <w:rFonts w:hint="eastAsia"/>
                <w:color w:val="auto"/>
                <w:sz w:val="18"/>
                <w:szCs w:val="18"/>
                <w:u w:val="none"/>
              </w:rPr>
              <w:t>T</w:t>
            </w:r>
            <w:r>
              <w:rPr>
                <w:rStyle w:val="36"/>
                <w:rFonts w:eastAsia="Helvetica"/>
                <w:color w:val="auto"/>
                <w:sz w:val="18"/>
                <w:szCs w:val="18"/>
                <w:u w:val="none"/>
              </w:rPr>
              <w:t>ebuconazole</w:t>
            </w:r>
            <w:r>
              <w:rPr>
                <w:rStyle w:val="36"/>
                <w:rFonts w:eastAsia="Helvetica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57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eastAsia="Helvetica"/>
                <w:color w:val="333333"/>
                <w:sz w:val="18"/>
                <w:szCs w:val="18"/>
                <w:shd w:val="clear" w:color="auto" w:fill="FFFFFF"/>
              </w:rPr>
              <w:t>107534-96-3</w:t>
            </w:r>
          </w:p>
        </w:tc>
        <w:tc>
          <w:tcPr>
            <w:tcW w:w="156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eastAsia="Helvetica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eastAsia="Helvetica"/>
                <w:sz w:val="18"/>
                <w:szCs w:val="18"/>
                <w:shd w:val="clear" w:color="auto" w:fill="FFFFFF"/>
                <w:vertAlign w:val="subscript"/>
              </w:rPr>
              <w:t>16</w:t>
            </w:r>
            <w:r>
              <w:rPr>
                <w:rFonts w:eastAsia="Helvetica"/>
                <w:sz w:val="18"/>
                <w:szCs w:val="18"/>
                <w:shd w:val="clear" w:color="auto" w:fill="FFFFFF"/>
              </w:rPr>
              <w:t>H</w:t>
            </w:r>
            <w:r>
              <w:rPr>
                <w:rFonts w:eastAsia="Helvetica"/>
                <w:sz w:val="18"/>
                <w:szCs w:val="18"/>
                <w:shd w:val="clear" w:color="auto" w:fill="FFFFFF"/>
                <w:vertAlign w:val="subscript"/>
              </w:rPr>
              <w:t>22</w:t>
            </w:r>
            <w:r>
              <w:rPr>
                <w:rFonts w:eastAsia="Helvetica"/>
                <w:sz w:val="18"/>
                <w:szCs w:val="18"/>
                <w:shd w:val="clear" w:color="auto" w:fill="FFFFFF"/>
              </w:rPr>
              <w:t>ClN</w:t>
            </w:r>
            <w:r>
              <w:rPr>
                <w:rFonts w:eastAsia="Helvetica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>
              <w:rPr>
                <w:rFonts w:eastAsia="Helvetica"/>
                <w:sz w:val="18"/>
                <w:szCs w:val="18"/>
                <w:shd w:val="clear" w:color="auto" w:fill="FFFFFF"/>
              </w:rPr>
              <w:t>O</w:t>
            </w:r>
          </w:p>
        </w:tc>
        <w:tc>
          <w:tcPr>
            <w:tcW w:w="1581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eastAsia="Helvetica"/>
                <w:sz w:val="18"/>
                <w:szCs w:val="18"/>
                <w:shd w:val="clear" w:color="auto" w:fill="FFFFFF"/>
              </w:rPr>
              <w:t>307.818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烯酰吗啉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Dimethomorph</w:t>
            </w:r>
          </w:p>
        </w:tc>
        <w:tc>
          <w:tcPr>
            <w:tcW w:w="1572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110488-70-5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21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vertAlign w:val="subscript"/>
              </w:rPr>
              <w:t>22</w:t>
            </w:r>
            <w:r>
              <w:rPr>
                <w:sz w:val="18"/>
                <w:szCs w:val="18"/>
              </w:rPr>
              <w:t>ClNO</w:t>
            </w:r>
            <w:r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387.86</w:t>
            </w:r>
          </w:p>
        </w:tc>
      </w:tr>
    </w:tbl>
    <w:p>
      <w:pPr>
        <w:ind w:firstLine="54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或等同可溯源物质。</w:t>
      </w:r>
    </w:p>
    <w:p>
      <w:pPr>
        <w:pStyle w:val="3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标准溶液配制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4.4.1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啶虫脒标准储备液（1000 μg/mL）：精密称取啶虫脒参考物质（4.3）10 mg，置于10 mL容量瓶中，用丙酮（4.1.4）溶解并稀释至刻度，摇匀，制成浓度为1000 μg/mL的啶虫脒标准储备液。或可直接购买啶虫脒标准储备液。-18℃避光保存，有效期6个月。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4.4.2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啶虫脒标准中间液（100 μg/mL）：精密量取啶虫脒标准储备液（1000 μg/mL）（4.4.1）1 mL，置于10 mL容量瓶中，用丙酮（4.1.4）稀释至刻度，摇匀，制成浓度为 100 μg/mL的啶虫脒标准中间液。4℃避光保存，有效期3个月。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4.4.3</w:t>
      </w:r>
      <w:r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啶虫脒标准工作液（10 μg/mL）：精密量取啶虫脒标准中间液（100 μg/mL）（4.4.2）1 mL，置于10 mL容量瓶中，用丙酮（4.1.4）稀释至刻度，摇匀，制成浓度为 10 μg/mL的啶虫脒标准工作液。4℃避光保存，有效期3个月。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4.4.4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阿维菌素标准储备液（1000 μg/mL）：精密称取阿维菌素参考物质（4.3）10 mg，置于10 mL容量瓶中，用丙酮（4.1.4）溶解并稀释至刻度，摇匀，制成浓度为1000 μg/mL的阿维菌素标准储备液。或可直接购买阿维菌素标准储备液。-18℃避光保存，有效期6个月。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4.4.5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阿维菌素标准中间液（100 μg/mL）：精密量取阿维菌素标准储备液（1000 μg/mL）（4.4.4）1 mL，置于10 mL容量瓶中，用丙酮（4.1.4）稀释至刻度，摇匀，制成浓度为 100 μg/mL的阿维菌素标准中间液。4℃避光保存，有效期3个月。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4.4.6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阿维菌素标准工作液（10 μg/mL）：精密量取阿维菌素标准中间液（100 μg/mL）（4.4.5）1 mL，置于10 mL容量瓶中，用丙酮（4.1.4）稀释至刻度，摇匀，制成浓度为 10 μg/mL的阿维菌素标准工作液。4℃避光保存，有效期3个月。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4.4.7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戊唑醇标准储备液（1000 μg/mL）：精密称取戊唑醇参考物质（4.3）10 mg，置于10 mL容量瓶中，用丙酮（4.1.4）溶解并稀释至刻度，摇匀，制成浓度为1000 μg/mL的戊唑醇标准储备液。或可直接购买戊唑醇标准储备液。-18℃避光保存，有效期6个月。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4.4.8</w:t>
      </w:r>
      <w:r>
        <w:rPr>
          <w:rFonts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戊唑醇标准中间液（100 μg/mL）：精密量取戊唑醇标准储备液（1000 μg/mL）（4.4.7）1 mL，置于10 mL容量瓶中，用丙酮（4.1.4）稀释至刻度，摇匀，制成浓度为 100 μg/mL的戊唑醇标准中间液。4℃避光保存，有效期3个月。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4.4.9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戊唑醇标准工作液（10 μg/mL）：精密量取戊唑醇标准中间液（100 μg/mL）（4.4.8）1 mL，置于10 mL容量瓶中，用丙酮（4.1.4）稀释至刻度，摇匀，制成浓度为 10 μg/mL的戊唑醇标准工作液。4℃避光保存，有效期3个月。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4.4.10</w:t>
      </w:r>
      <w:r>
        <w:rPr>
          <w:rFonts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烯酰吗啉标准储备液（1000 μg/mL）：精密称取烯酰吗啉参考物质（4.3）10 mg，置于10mL容量瓶中，用丙酮（4.1.4）溶解并稀释至刻度，摇匀，制成浓度为1000 μg/mL的烯酰吗啉标准储备液。或可直接购买烯酰吗啉标准储备液。-18℃避光保存，有效期6个月。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4.4.11 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>烯酰吗啉标准中间液（100 μg/mL）：精密量取烯酰吗啉标准储备液（1000 μg/mL）（4.4.10）1 mL，置于10 mL容量瓶中，用丙酮（4.1.4）稀释至刻度，摇匀，制成浓度为 100 μg/mL的烯酰吗啉标准中间液。4℃避光保存，有效期3个月。</w:t>
      </w:r>
    </w:p>
    <w:p>
      <w:pPr>
        <w:pStyle w:val="43"/>
        <w:numPr>
          <w:ilvl w:val="0"/>
          <w:numId w:val="0"/>
        </w:numPr>
        <w:spacing w:before="156" w:after="156"/>
        <w:outlineLvl w:val="9"/>
        <w:rPr>
          <w:rFonts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4.4.12</w:t>
      </w:r>
      <w:r>
        <w:rPr>
          <w:rFonts w:hint="eastAsia" w:ascii="宋体" w:hAnsi="宋体" w:eastAsia="宋体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烯酰吗啉标准工作液（10 μg/mL）：精密量取烯酰吗啉标准中间液（100 μg/mL）（4.4.11）1 mL，置于10 mL容量瓶中，用丙酮（4.1.4）稀释至刻度，摇匀，制成浓度为 10 μg/mL的烯酰吗啉标准工作液。4℃避光保存，有效期3个月。</w:t>
      </w:r>
    </w:p>
    <w:p>
      <w:pPr>
        <w:pStyle w:val="39"/>
      </w:pPr>
      <w:r>
        <w:rPr>
          <w:rFonts w:hint="eastAsia"/>
        </w:rPr>
        <w:t>材料</w:t>
      </w:r>
    </w:p>
    <w:p>
      <w:pPr>
        <w:spacing w:line="320" w:lineRule="exact"/>
        <w:ind w:firstLine="420" w:firstLineChars="200"/>
      </w:pPr>
      <w:r>
        <w:rPr>
          <w:rFonts w:hint="eastAsia"/>
        </w:rPr>
        <w:t>啶虫脒、阿维菌素、戊唑醇、烯酰吗啉胶体金快速检测试剂盒。需在阴凉、干燥、避光条件下保存。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4.5.1</w:t>
      </w:r>
      <w:r>
        <w:rPr>
          <w:rFonts w:hint="eastAsia"/>
        </w:rPr>
        <w:t xml:space="preserve">  金标微孔（含胶体金标记的特异性抗体）。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4.5.2</w:t>
      </w:r>
      <w:r>
        <w:rPr>
          <w:rFonts w:hint="eastAsia"/>
        </w:rPr>
        <w:t xml:space="preserve">  试纸条或检测卡。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4.5.3</w:t>
      </w:r>
      <w:r>
        <w:rPr>
          <w:rFonts w:hint="eastAsia"/>
        </w:rPr>
        <w:t xml:space="preserve">  离心管。</w:t>
      </w:r>
    </w:p>
    <w:p>
      <w:pPr>
        <w:pStyle w:val="42"/>
      </w:pPr>
      <w:bookmarkStart w:id="19" w:name="_Toc93438955"/>
      <w:bookmarkStart w:id="20" w:name="_Toc26175104"/>
      <w:r>
        <w:rPr>
          <w:rFonts w:hint="eastAsia"/>
        </w:rPr>
        <w:t>仪器与设备</w:t>
      </w:r>
      <w:bookmarkEnd w:id="19"/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</w:t>
      </w:r>
      <w:r>
        <w:rPr>
          <w:rFonts w:hint="eastAsia" w:hAnsi="宋体"/>
        </w:rPr>
        <w:t xml:space="preserve">  电子天平：感量为</w:t>
      </w:r>
      <w:r>
        <w:rPr>
          <w:rFonts w:hint="eastAsia" w:hAnsi="宋体"/>
          <w:szCs w:val="21"/>
        </w:rPr>
        <w:t>0.</w:t>
      </w:r>
      <w:r>
        <w:rPr>
          <w:rFonts w:hAnsi="宋体"/>
          <w:szCs w:val="21"/>
        </w:rPr>
        <w:t>0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mg</w:t>
      </w:r>
      <w:r>
        <w:rPr>
          <w:rFonts w:hint="eastAsia" w:hAnsi="宋体"/>
        </w:rPr>
        <w:t>和</w:t>
      </w:r>
      <w:r>
        <w:rPr>
          <w:rFonts w:hint="eastAsia" w:hAnsi="宋体"/>
          <w:szCs w:val="21"/>
        </w:rPr>
        <w:t>0.01</w:t>
      </w:r>
      <w:r>
        <w:rPr>
          <w:rFonts w:ascii="Times New Roman"/>
          <w:kern w:val="2"/>
          <w:szCs w:val="21"/>
        </w:rPr>
        <w:t>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</w:t>
      </w:r>
      <w:r>
        <w:rPr>
          <w:rFonts w:hint="eastAsia" w:hAnsi="宋体"/>
        </w:rPr>
        <w:t xml:space="preserve">  移液器：</w:t>
      </w:r>
      <w:r>
        <w:rPr>
          <w:rFonts w:eastAsia="黑体"/>
          <w:szCs w:val="21"/>
        </w:rPr>
        <w:t>1</w:t>
      </w:r>
      <w:r>
        <w:rPr>
          <w:rFonts w:hint="eastAsia" w:eastAsia="黑体"/>
          <w:szCs w:val="21"/>
        </w:rPr>
        <w:t>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eastAsia="黑体"/>
          <w:szCs w:val="21"/>
        </w:rPr>
        <w:t>200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5</w:t>
      </w:r>
      <w:r>
        <w:rPr>
          <w:rFonts w:hint="eastAsia" w:ascii="Times New Roman"/>
          <w:kern w:val="2"/>
          <w:szCs w:val="21"/>
        </w:rPr>
        <w:t>mL</w:t>
      </w:r>
      <w:r>
        <w:rPr>
          <w:rFonts w:hint="eastAsia" w:hAnsi="宋体"/>
        </w:rPr>
        <w:t>。</w:t>
      </w:r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hAnsi="宋体"/>
        </w:rPr>
        <w:t xml:space="preserve">  粉碎机。</w:t>
      </w:r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hAnsi="宋体"/>
        </w:rPr>
        <w:t xml:space="preserve">  </w:t>
      </w:r>
      <w:r>
        <w:rPr>
          <w:rFonts w:hint="eastAsia" w:hAnsi="宋体" w:cs="黑体"/>
          <w:szCs w:val="21"/>
        </w:rPr>
        <w:t>离心机：</w:t>
      </w:r>
      <w:r>
        <w:rPr>
          <w:spacing w:val="5"/>
          <w:szCs w:val="21"/>
        </w:rPr>
        <w:t>转速</w:t>
      </w:r>
      <w:r>
        <w:rPr>
          <w:rFonts w:ascii="Times New Roman"/>
          <w:spacing w:val="5"/>
          <w:szCs w:val="21"/>
        </w:rPr>
        <w:t>≥</w:t>
      </w:r>
      <w:r>
        <w:rPr>
          <w:spacing w:val="5"/>
          <w:szCs w:val="21"/>
        </w:rPr>
        <w:t xml:space="preserve">4000 </w:t>
      </w:r>
      <w:r>
        <w:rPr>
          <w:rFonts w:ascii="Times New Roman"/>
          <w:kern w:val="2"/>
          <w:szCs w:val="21"/>
        </w:rPr>
        <w:t>r/min</w:t>
      </w:r>
      <w:r>
        <w:t>。</w:t>
      </w:r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Ansi="宋体"/>
        </w:rPr>
        <w:t xml:space="preserve">  </w:t>
      </w:r>
      <w:r>
        <w:rPr>
          <w:rFonts w:hint="eastAsia" w:hAnsi="宋体"/>
        </w:rPr>
        <w:t>涡旋混合器。</w:t>
      </w:r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5.6</w:t>
      </w:r>
      <w:r>
        <w:rPr>
          <w:rFonts w:hAnsi="宋体"/>
        </w:rPr>
        <w:t xml:space="preserve">  </w:t>
      </w:r>
      <w:r>
        <w:rPr>
          <w:rStyle w:val="138"/>
          <w:rFonts w:hint="default"/>
          <w:szCs w:val="21"/>
        </w:rPr>
        <w:t>温育器。</w:t>
      </w:r>
    </w:p>
    <w:p>
      <w:pPr>
        <w:pStyle w:val="22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hAnsi="宋体"/>
        </w:rPr>
        <w:t xml:space="preserve">  胶体金读数仪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/>
        </w:rPr>
        <w:t>可选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/>
        </w:rPr>
        <w:t>。</w:t>
      </w:r>
    </w:p>
    <w:bookmarkEnd w:id="20"/>
    <w:p>
      <w:pPr>
        <w:pStyle w:val="42"/>
      </w:pPr>
      <w:bookmarkStart w:id="21" w:name="_Toc93438956"/>
      <w:r>
        <w:rPr>
          <w:rFonts w:hint="eastAsia"/>
        </w:rPr>
        <w:t>分析步骤</w:t>
      </w:r>
      <w:bookmarkEnd w:id="21"/>
    </w:p>
    <w:p>
      <w:pPr>
        <w:pStyle w:val="39"/>
      </w:pPr>
      <w:r>
        <w:rPr>
          <w:rFonts w:hint="eastAsia"/>
        </w:rPr>
        <w:t>试样制备</w:t>
      </w:r>
    </w:p>
    <w:p>
      <w:pPr>
        <w:pStyle w:val="22"/>
      </w:pPr>
      <w:r>
        <w:rPr>
          <w:rFonts w:hint="eastAsia"/>
        </w:rPr>
        <w:t>称取不少于</w:t>
      </w:r>
      <w:r>
        <w:rPr>
          <w:rFonts w:ascii="Times New Roman"/>
        </w:rPr>
        <w:t>200 g</w:t>
      </w:r>
      <w:r>
        <w:rPr>
          <w:rFonts w:hint="eastAsia"/>
        </w:rPr>
        <w:t>具有代表性的样品，剪碎，分别装入洁净容器作为试样和留样，密封，标记。留样储存于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/>
        </w:rPr>
        <w:t>18℃</w:t>
      </w:r>
      <w:r>
        <w:rPr>
          <w:rFonts w:hint="eastAsia"/>
        </w:rPr>
        <w:t>以下保存。</w:t>
      </w:r>
    </w:p>
    <w:p>
      <w:pPr>
        <w:pStyle w:val="3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试样提取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制备好</w:t>
      </w:r>
      <w:r>
        <w:rPr>
          <w:szCs w:val="21"/>
        </w:rPr>
        <w:t>的试样2 g(精确至0.01 g)至15 mL离心管中，加入8 mL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(4.2)，盖上盖子，涡旋混合器</w:t>
      </w:r>
      <w:r>
        <w:rPr>
          <w:rFonts w:hint="eastAsia"/>
          <w:szCs w:val="21"/>
        </w:rPr>
        <w:t>混匀</w:t>
      </w:r>
      <w:r>
        <w:rPr>
          <w:szCs w:val="21"/>
        </w:rPr>
        <w:t>或手动上下振荡混匀30 s，</w:t>
      </w:r>
      <w:r>
        <w:rPr>
          <w:rFonts w:hint="eastAsia"/>
          <w:szCs w:val="21"/>
        </w:rPr>
        <w:t>静置分层或4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r</w:t>
      </w:r>
      <w:r>
        <w:rPr>
          <w:szCs w:val="21"/>
        </w:rPr>
        <w:t>/min</w:t>
      </w:r>
      <w:r>
        <w:rPr>
          <w:rFonts w:hint="eastAsia"/>
          <w:szCs w:val="21"/>
        </w:rPr>
        <w:t>离心1 min，</w:t>
      </w:r>
      <w:r>
        <w:rPr>
          <w:szCs w:val="21"/>
        </w:rPr>
        <w:t>上清</w:t>
      </w:r>
      <w:r>
        <w:rPr>
          <w:rFonts w:hint="eastAsia"/>
          <w:szCs w:val="21"/>
        </w:rPr>
        <w:t>液即</w:t>
      </w:r>
      <w:r>
        <w:rPr>
          <w:szCs w:val="21"/>
        </w:rPr>
        <w:t>为待测液。</w:t>
      </w:r>
    </w:p>
    <w:p>
      <w:pPr>
        <w:pStyle w:val="3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测定步骤</w:t>
      </w:r>
    </w:p>
    <w:p>
      <w:pPr>
        <w:pStyle w:val="43"/>
        <w:spacing w:before="156" w:after="156"/>
      </w:pPr>
      <w:r>
        <w:rPr>
          <w:rFonts w:hint="eastAsia"/>
        </w:rPr>
        <w:t>测定液的准备</w:t>
      </w:r>
    </w:p>
    <w:p>
      <w:pPr>
        <w:pStyle w:val="48"/>
        <w:outlineLvl w:val="9"/>
      </w:pPr>
      <w:r>
        <w:rPr>
          <w:rFonts w:hint="eastAsia"/>
        </w:rPr>
        <w:t>其待测液处理方式见下表。</w:t>
      </w:r>
    </w:p>
    <w:tbl>
      <w:tblPr>
        <w:tblStyle w:val="31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基质种类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大蒜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spacing w:line="276" w:lineRule="auto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将样品提取液和待测液按11:1的比例混合均匀后，在金标微孔中加入200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洋葱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啶虫脒阳性：</w:t>
            </w:r>
            <w:r>
              <w:rPr>
                <w:rFonts w:ascii="Times New Roman"/>
                <w:szCs w:val="21"/>
              </w:rPr>
              <w:t>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 xml:space="preserve">    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将样品提取液和待测液按11:1的比例混合均匀后，在金标微孔中加入200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葱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2763中不同蔬菜、水果基质的农药限量要求不同，当啶虫脒，阿维菌素，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啶虫脒阳性：将样品提取液和待测液按99:1的比例混合均匀后，在金标微孔中加入200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阿维菌素阳性：在金标微孔中加入100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将样品提取液和待测液按179:1的比例混合均匀后，在金标微孔中加入200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结球甘蓝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啶虫脒阳性：</w:t>
            </w:r>
            <w:r>
              <w:rPr>
                <w:rFonts w:ascii="Times New Roman"/>
              </w:rPr>
              <w:t>将样品提取液和待测液按9:1的比例混合均匀后，在金标微孔中加入200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将样品提取液和待测液按19:1的比例混合均匀后，在金标微孔中加入200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将样品提取液和待测液按39:1的比例混合均匀后，在金标微孔中加入200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青花菜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啶虫脒阳性：在金标微孔中加入100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阳性：在金标微孔中加入150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和50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将样品提取液和待测液按19:1的比例混合均匀后，在金标微孔中加入200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芹菜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啶虫脒阳性：</w:t>
            </w:r>
            <w:r>
              <w:rPr>
                <w:rFonts w:ascii="Times New Roman"/>
              </w:rPr>
              <w:t>将样品提取液和待测液按59:1的比例混合均匀后，在金标微孔中加入200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将样品提取液和待测液按299:1的比例混合均匀后，在金标微孔中加入200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将样品提取液和待测液按299:1的比例混合均匀后，在金标微孔中加入200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茄子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2763中不同蔬菜、水果基质的农药限量要求不同，当啶虫脒，阿维菌素，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啶虫脒阳性：将样品提取液和待测液按19:1的比例混合均匀后，在金标微孔中加入200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阿维菌素阳性：在金标微孔中加入150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和50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将样品提取液和待测液按39:1的比例混合均匀后，在金标微孔中加入200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食荚豌豆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啶虫脒阳性：</w:t>
            </w:r>
            <w:r>
              <w:rPr>
                <w:rFonts w:ascii="Times New Roman"/>
              </w:rPr>
              <w:t>将样品提取液和待测液按19:1的比例混合均匀后，在金标微孔中加入200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将样品提取液和待测液按59:1的比例混合均匀后，在金标微孔中加入200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阳性：在金标微孔中加入133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和67 μL待测液，用一次性吸管上下抽吸5~10次直至微孔试剂混合均匀。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苦瓜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啶虫脒阳性：</w:t>
            </w:r>
            <w:r>
              <w:rPr>
                <w:rFonts w:ascii="Times New Roman"/>
              </w:rPr>
              <w:t>将样品提取液和待测液按9:1的比例混合均匀后，在金标微孔中加入200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将样品提取液和待测液按39:1的比例混合均匀后，在金标微孔中加入200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exact"/>
          <w:jc w:val="center"/>
        </w:trPr>
        <w:tc>
          <w:tcPr>
            <w:tcW w:w="1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番木瓜</w:t>
            </w:r>
          </w:p>
        </w:tc>
        <w:tc>
          <w:tcPr>
            <w:tcW w:w="815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注：GB 2763中不同蔬菜、水果基质的农药限量要求不同，当啶虫脒，阿维菌素，</w:t>
            </w:r>
            <w:r>
              <w:rPr>
                <w:rFonts w:asci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戊唑醇和烯酰吗啉</w:t>
            </w:r>
            <w:r>
              <w:rPr>
                <w:rFonts w:ascii="Times New Roman"/>
                <w:szCs w:val="21"/>
              </w:rPr>
              <w:t>某项检测结果为阳性时，可采用对待测液进一步稀释处理进行复测：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啶虫脒阳性：将样品提取液和待测液按9:1的比例混合均匀后，在金标微孔中加入200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阿维菌素阳性：在金标微孔中加入100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和100 μL待测液，用一次性吸管上下抽吸5~10次直至微孔试剂混合均匀。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戊唑醇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将样品提取液和待测液按39:1的比例混合均匀后，在金标微孔中加入200 μL上述混合液，上下抽吸5~10次直至微孔试剂混合均匀。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烯酰吗啉</w:t>
            </w:r>
            <w:r>
              <w:rPr>
                <w:rFonts w:ascii="Times New Roman"/>
                <w:szCs w:val="21"/>
              </w:rPr>
              <w:t>阳性：</w:t>
            </w:r>
            <w:r>
              <w:rPr>
                <w:rFonts w:ascii="Times New Roman"/>
              </w:rPr>
              <w:t>将样品提取液和待测液按139:1的比例混合均匀后，在金标微孔中加入200 μL上述混合液，上下抽吸5~10次直至微孔试剂混合均匀。</w:t>
            </w:r>
          </w:p>
        </w:tc>
      </w:tr>
    </w:tbl>
    <w:p>
      <w:pPr>
        <w:pStyle w:val="43"/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测定</w:t>
      </w:r>
    </w:p>
    <w:p>
      <w:pPr>
        <w:pStyle w:val="43"/>
        <w:numPr>
          <w:ilvl w:val="0"/>
          <w:numId w:val="0"/>
        </w:numPr>
        <w:spacing w:before="0" w:beforeLines="0" w:after="0" w:afterLines="0"/>
        <w:ind w:firstLine="420" w:firstLineChars="200"/>
        <w:outlineLvl w:val="9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将以上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(6.3.1)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混匀后的测试样品在室温(20～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)温育3 min，将试纸条插入到金标微孔中，室温(20～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)反应6 min后，从微孔中取出试纸条，除去试纸条下端的样品垫，进行结果判定。</w:t>
      </w:r>
    </w:p>
    <w:p>
      <w:pPr>
        <w:pStyle w:val="6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测定步骤建议按照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试纸条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6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结果判定建议使用读数仪，读数仪的具体使用参照仪器使用说明书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9"/>
      </w:pPr>
      <w:r>
        <w:t>质控试验</w:t>
      </w:r>
    </w:p>
    <w:p>
      <w:pPr>
        <w:pStyle w:val="43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空白试验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准确称取空白试样，按照6.2和6.3步骤与样品同法操作</w:t>
      </w:r>
      <w:r>
        <w:rPr>
          <w:rFonts w:hint="eastAsia"/>
          <w:szCs w:val="21"/>
        </w:rPr>
        <w:t>；也可</w:t>
      </w:r>
      <w:r>
        <w:rPr>
          <w:szCs w:val="21"/>
        </w:rPr>
        <w:t>在金标微孔中加入200 μL</w:t>
      </w:r>
      <w:r>
        <w:rPr>
          <w:rFonts w:hint="eastAsia"/>
        </w:rPr>
        <w:t>缓冲液</w:t>
      </w:r>
      <w:r>
        <w:rPr>
          <w:szCs w:val="21"/>
        </w:rPr>
        <w:t>，</w:t>
      </w:r>
      <w:r>
        <w:rPr>
          <w:rFonts w:hint="eastAsia"/>
          <w:szCs w:val="21"/>
        </w:rPr>
        <w:t>用一次性吸管</w:t>
      </w:r>
      <w:r>
        <w:rPr>
          <w:szCs w:val="21"/>
        </w:rPr>
        <w:t>上下抽吸5~10次直至微孔试剂混合均匀</w:t>
      </w:r>
      <w:r>
        <w:rPr>
          <w:rFonts w:hint="eastAsia"/>
          <w:szCs w:val="21"/>
        </w:rPr>
        <w:t>后，按6</w:t>
      </w:r>
      <w:r>
        <w:rPr>
          <w:szCs w:val="21"/>
        </w:rPr>
        <w:t>.3.2操作。</w:t>
      </w:r>
    </w:p>
    <w:p>
      <w:pPr>
        <w:pStyle w:val="43"/>
        <w:spacing w:before="156" w:after="156"/>
      </w:pPr>
      <w:r>
        <w:t>加标质控试验</w:t>
      </w:r>
    </w:p>
    <w:p>
      <w:pPr>
        <w:pStyle w:val="43"/>
        <w:numPr>
          <w:ilvl w:val="2"/>
          <w:numId w:val="0"/>
        </w:numPr>
        <w:spacing w:before="156" w:after="156"/>
        <w:outlineLvl w:val="9"/>
        <w:rPr>
          <w:rFonts w:hAnsi="黑体" w:cs="黑体"/>
        </w:rPr>
      </w:pPr>
      <w:r>
        <w:rPr>
          <w:rFonts w:hint="eastAsia" w:hAnsi="黑体" w:cs="黑体"/>
        </w:rPr>
        <w:t>6.4.2.1 啶虫脒的加标质控试验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测定大蒜时，称取啶虫脒含量为0.05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啶虫脒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.4.3），使啶虫脒的添加量为0.05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.3步骤与样品同法操作。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测定洋葱，青花菜时，称取啶虫脒含量为0.1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啶虫脒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.4.3），使啶虫脒的添加量为0.1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.3步骤与样品同法操作。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测定结球甘蓝，苦瓜，番木瓜时，称取啶虫脒含量为0.5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啶虫脒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00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.4.2），使啶虫脒的添加量为0.5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.3步骤与样品同法操作。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测定茄子，食荚豌豆时，称取啶虫脒含量为1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啶虫脒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00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.4.2），使啶虫脒的添加量为1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.3步骤与样品同法操作。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测定芹菜时，称取啶虫脒含量为3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啶虫脒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00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.4.2），使啶虫脒的添加量为3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.3步骤与样品同法操作。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测定葱时，称取啶虫脒含量为5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啶虫脒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标准储备液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.4.1），使啶虫脒的添加量为5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.3步骤与样品同法操作。</w:t>
      </w:r>
    </w:p>
    <w:p>
      <w:pPr>
        <w:pStyle w:val="43"/>
        <w:numPr>
          <w:ilvl w:val="2"/>
          <w:numId w:val="0"/>
        </w:numPr>
        <w:spacing w:before="156" w:after="156"/>
        <w:outlineLvl w:val="9"/>
        <w:rPr>
          <w:rFonts w:hAnsi="黑体" w:cs="黑体"/>
        </w:rPr>
      </w:pPr>
      <w:r>
        <w:rPr>
          <w:rFonts w:hint="eastAsia" w:hAnsi="黑体" w:cs="黑体"/>
        </w:rPr>
        <w:t>6.4.2.2 阿维菌素的加标质控试验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测定大蒜，洋葱，结球甘蓝，青花菜，芹菜，食荚豌豆，苦瓜时，称取阿维菌素含量为0.05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阿维菌素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.4.6），使阿维菌素的添加量为0.05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22"/>
        <w:rPr>
          <w:rFonts w:ascii="Times New Roman" w:hAnsi="宋体"/>
        </w:rPr>
      </w:pPr>
      <w:r>
        <w:rPr>
          <w:rFonts w:hint="eastAsia" w:ascii="Times New Roman" w:hAnsi="宋体"/>
        </w:rPr>
        <w:t>测定葱，番木瓜时，称取阿维菌素含量为0.1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阿维菌素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.4.6），使阿维菌素的添加量为0.1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 </w:t>
      </w:r>
    </w:p>
    <w:p>
      <w:pPr>
        <w:pStyle w:val="22"/>
        <w:rPr>
          <w:rFonts w:ascii="Times New Roman" w:hAnsi="宋体"/>
        </w:rPr>
      </w:pPr>
      <w:r>
        <w:rPr>
          <w:rFonts w:hint="eastAsia" w:ascii="Times New Roman" w:hAnsi="宋体"/>
        </w:rPr>
        <w:t>测定茄子时，称取阿维菌素含量为0.2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阿维菌素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.4.6），使阿维菌素的添加量为0.2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 </w:t>
      </w:r>
    </w:p>
    <w:p>
      <w:pPr>
        <w:pStyle w:val="43"/>
        <w:numPr>
          <w:ilvl w:val="2"/>
          <w:numId w:val="0"/>
        </w:numPr>
        <w:spacing w:before="156" w:after="156"/>
        <w:outlineLvl w:val="9"/>
        <w:rPr>
          <w:rFonts w:hAnsi="黑体" w:cs="黑体"/>
        </w:rPr>
      </w:pPr>
      <w:r>
        <w:rPr>
          <w:rFonts w:hint="eastAsia" w:hAnsi="黑体" w:cs="黑体"/>
        </w:rPr>
        <w:t>6.4.2.3 戊唑醇的加标质控试验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测定大蒜，洋葱，茄子时，称取戊唑醇含量为0.1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戊唑醇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.4.9），使戊唑醇的添加量为0.1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22"/>
        <w:rPr>
          <w:rFonts w:ascii="Times New Roman" w:hAnsi="宋体"/>
        </w:rPr>
      </w:pPr>
      <w:r>
        <w:rPr>
          <w:rFonts w:hint="eastAsia" w:ascii="Times New Roman" w:hAnsi="宋体"/>
        </w:rPr>
        <w:t>测定青花菜时，称取戊唑醇含量为0.2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戊唑醇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.4.9），使戊唑醇的添加量为0.2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测定葱时，称取戊唑醇含量为0.5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戊唑醇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.4.8），使戊唑醇的添加量为0.5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测定结球甘蓝时，称取戊唑醇含量为1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戊唑醇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.4.8），使戊唑醇的添加量为1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测定苦瓜，番木瓜时，称取戊唑醇含量为2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戊唑醇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.4.8），使戊唑醇的添加量为2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测定食荚豌豆时，称取戊唑醇含量为3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戊唑醇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.4.8），使戊唑醇的添加量为3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测定芹菜时，称取戊唑醇含量为15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戊唑醇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标准储备液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.4.7），使戊唑醇的添加量为15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 xml:space="preserve">.3步骤与样品同法操作。 </w:t>
      </w:r>
    </w:p>
    <w:p>
      <w:pPr>
        <w:pStyle w:val="43"/>
        <w:numPr>
          <w:ilvl w:val="2"/>
          <w:numId w:val="0"/>
        </w:numPr>
        <w:spacing w:before="156" w:after="156"/>
        <w:outlineLvl w:val="9"/>
        <w:rPr>
          <w:rFonts w:hAnsi="黑体" w:cs="黑体"/>
        </w:rPr>
      </w:pPr>
      <w:r>
        <w:rPr>
          <w:rFonts w:hint="eastAsia" w:hAnsi="黑体" w:cs="黑体"/>
        </w:rPr>
        <w:t>6.4.2.4 烯酰吗啉的加标质控试验</w:t>
      </w:r>
    </w:p>
    <w:p>
      <w:pPr>
        <w:pStyle w:val="43"/>
        <w:numPr>
          <w:ilvl w:val="2"/>
          <w:numId w:val="0"/>
        </w:numPr>
        <w:spacing w:before="156" w:after="156"/>
        <w:ind w:firstLine="420" w:firstLineChars="200"/>
        <w:outlineLvl w:val="9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测定食荚豌豆时，称取烯酰吗啉含量为0.15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烯酰吗啉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.4.12），使烯酰吗啉的添加量为0.15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22"/>
        <w:rPr>
          <w:rFonts w:ascii="Times New Roman" w:hAnsi="宋体"/>
        </w:rPr>
      </w:pPr>
      <w:r>
        <w:rPr>
          <w:rFonts w:hint="eastAsia" w:ascii="Times New Roman" w:hAnsi="宋体"/>
        </w:rPr>
        <w:t>测定苦瓜时，称取烯酰吗啉含量为0.5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.4.11），使烯酰吗啉的添加量为0.5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测定大蒜，洋葱时，称取烯酰吗啉含量为0.6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.4.11），使烯酰吗啉的添加量为0.6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测定青花菜时，称取烯酰吗啉含量为1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.4.11），使烯酰吗啉的添加量为1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测定结球甘蓝，茄子时，称取烯酰吗啉含量为2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.4.11），使烯酰吗啉的添加量为2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测定番木瓜时，称取烯酰吗啉含量为7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标准储存液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.4.10），使烯酰吗啉的添加量为7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测定葱时，称取烯酰吗啉含量为9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标准储存液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.4.10），使烯酰吗啉的添加量为9 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22"/>
        <w:spacing w:before="156" w:beforeLines="50" w:after="156" w:afterLines="50"/>
        <w:rPr>
          <w:rFonts w:ascii="Times New Roman" w:hAnsi="宋体"/>
        </w:rPr>
      </w:pPr>
      <w:r>
        <w:rPr>
          <w:rFonts w:hint="eastAsia" w:ascii="Times New Roman" w:hAnsi="宋体"/>
        </w:rPr>
        <w:t>测定芹菜时，称取烯酰吗啉含量为15 mg/kg的质控样，或</w:t>
      </w:r>
      <w:r>
        <w:rPr>
          <w:rFonts w:ascii="Times New Roman" w:hAnsi="宋体"/>
        </w:rPr>
        <w:t>称取空白试样</w:t>
      </w:r>
      <w:r>
        <w:rPr>
          <w:rFonts w:hint="eastAsia" w:ascii="Times New Roman" w:hAnsi="宋体"/>
        </w:rPr>
        <w:t>，加入</w:t>
      </w:r>
      <w:r>
        <w:rPr>
          <w:rFonts w:ascii="Times New Roman" w:hAnsi="宋体"/>
        </w:rPr>
        <w:t>适量</w:t>
      </w:r>
      <w:r>
        <w:rPr>
          <w:rFonts w:hint="eastAsia" w:ascii="Times New Roman" w:hAnsi="宋体"/>
        </w:rPr>
        <w:t>烯酰吗啉</w:t>
      </w:r>
      <w:r>
        <w:rPr>
          <w:rFonts w:hint="eastAsia" w:hAnsi="宋体" w:cs="宋体"/>
          <w:color w:val="000000" w:themeColor="text1"/>
          <w14:textFill>
            <w14:solidFill>
              <w14:schemeClr w14:val="tx1"/>
            </w14:solidFill>
          </w14:textFill>
        </w:rPr>
        <w:t>标准储存液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</w:t>
      </w:r>
      <w:r>
        <w:rPr>
          <w:rFonts w:hint="eastAsia" w:ascii="Times New Roman" w:hAnsi="宋体"/>
        </w:rPr>
        <w:t>（</w:t>
      </w:r>
      <w:r>
        <w:rPr>
          <w:rFonts w:ascii="Times New Roman" w:hAnsi="宋体"/>
        </w:rPr>
        <w:t>4</w:t>
      </w:r>
      <w:r>
        <w:rPr>
          <w:rFonts w:hint="eastAsia" w:ascii="Times New Roman" w:hAnsi="宋体"/>
        </w:rPr>
        <w:t>.4.10），使烯酰吗啉的添加量为15mg/kg，按照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.2和</w:t>
      </w:r>
      <w:r>
        <w:rPr>
          <w:rFonts w:ascii="Times New Roman" w:hAnsi="宋体"/>
        </w:rPr>
        <w:t>6</w:t>
      </w:r>
      <w:r>
        <w:rPr>
          <w:rFonts w:hint="eastAsia" w:ascii="Times New Roman" w:hAnsi="宋体"/>
        </w:rPr>
        <w:t>.3步骤与样品同法操作。</w:t>
      </w:r>
    </w:p>
    <w:p>
      <w:pPr>
        <w:pStyle w:val="39"/>
        <w:numPr>
          <w:ilvl w:val="0"/>
          <w:numId w:val="0"/>
        </w:numPr>
        <w:ind w:firstLine="360" w:firstLineChars="200"/>
        <w:outlineLvl w:val="9"/>
        <w:rPr>
          <w:rFonts w:eastAsia="宋体"/>
        </w:rPr>
      </w:pPr>
      <w:r>
        <w:rPr>
          <w:rFonts w:hint="eastAsia"/>
          <w:sz w:val="18"/>
          <w:szCs w:val="18"/>
        </w:rPr>
        <w:t>注：</w:t>
      </w:r>
      <w:r>
        <w:rPr>
          <w:rFonts w:eastAsia="宋体"/>
          <w:sz w:val="18"/>
          <w:szCs w:val="18"/>
        </w:rPr>
        <w:t>每批试样应同时进行空白试验和加标质控试验。</w:t>
      </w:r>
    </w:p>
    <w:p>
      <w:pPr>
        <w:pStyle w:val="42"/>
      </w:pPr>
      <w:bookmarkStart w:id="22" w:name="_Toc93438957"/>
      <w:r>
        <w:t>结果</w:t>
      </w:r>
      <w:r>
        <w:rPr>
          <w:rFonts w:hint="eastAsia"/>
        </w:rPr>
        <w:t>判定</w:t>
      </w:r>
      <w:bookmarkEnd w:id="22"/>
    </w:p>
    <w:p>
      <w:pPr>
        <w:pStyle w:val="39"/>
      </w:pPr>
      <w:r>
        <w:t>目视</w:t>
      </w:r>
      <w:r>
        <w:rPr>
          <w:rFonts w:hint="eastAsia"/>
        </w:rPr>
        <w:t>法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通过对比控制线(C线)和检测线(T线)的颜色深浅进行结果</w:t>
      </w:r>
      <w:r>
        <w:rPr>
          <w:rFonts w:hint="eastAsia"/>
          <w:szCs w:val="21"/>
        </w:rPr>
        <w:t>判定</w:t>
      </w:r>
      <w:r>
        <w:rPr>
          <w:szCs w:val="21"/>
        </w:rPr>
        <w:t>。目视结果示意图见图1。</w:t>
      </w:r>
    </w:p>
    <w:p>
      <w:pPr>
        <w:pStyle w:val="43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无效结果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控制线(C线)不显色</w:t>
      </w:r>
      <w:r>
        <w:rPr>
          <w:rFonts w:hint="eastAsia"/>
          <w:szCs w:val="21"/>
        </w:rPr>
        <w:t>，</w:t>
      </w:r>
      <w:r>
        <w:rPr>
          <w:szCs w:val="21"/>
        </w:rPr>
        <w:t>无论检测线(T线)是否显色，</w:t>
      </w:r>
      <w:r>
        <w:rPr>
          <w:rFonts w:hint="eastAsia"/>
          <w:szCs w:val="21"/>
        </w:rPr>
        <w:t>判定为</w:t>
      </w:r>
      <w:r>
        <w:rPr>
          <w:szCs w:val="21"/>
        </w:rPr>
        <w:t>无效</w:t>
      </w:r>
      <w:r>
        <w:rPr>
          <w:rFonts w:hint="eastAsia"/>
          <w:szCs w:val="21"/>
        </w:rPr>
        <w:t>结果；</w:t>
      </w:r>
      <w:r>
        <w:rPr>
          <w:rFonts w:hint="eastAsia"/>
        </w:rPr>
        <w:t>质控试验结果不符合要求时，同批次所有检测结果判定为无效结果</w:t>
      </w:r>
      <w:r>
        <w:rPr>
          <w:szCs w:val="21"/>
        </w:rPr>
        <w:t>。</w:t>
      </w:r>
      <w:r>
        <w:rPr>
          <w:rFonts w:hint="eastAsia"/>
          <w:szCs w:val="21"/>
        </w:rPr>
        <w:t>若出现无效结果，需对同批次样品进行重新检测。</w:t>
      </w:r>
    </w:p>
    <w:p>
      <w:pPr>
        <w:pStyle w:val="43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阴性结果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若检测线(T线)颜色深于或等于控制线(C线)表示试样中不含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啶虫脒、阿维菌素、戊唑醇和烯酰吗啉</w:t>
      </w:r>
      <w:r>
        <w:rPr>
          <w:rFonts w:hint="eastAsia"/>
          <w:szCs w:val="21"/>
        </w:rPr>
        <w:t>或</w:t>
      </w:r>
      <w:r>
        <w:rPr>
          <w:szCs w:val="21"/>
        </w:rPr>
        <w:t>其含量低于方法检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为阴性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3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阳性结果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若检测线(T线)不显色或颜色浅于控制线(C线)表示试样中含有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啶虫脒、阿维菌素、戊唑醇和烯酰吗啉</w:t>
      </w:r>
      <w:r>
        <w:rPr>
          <w:szCs w:val="21"/>
        </w:rPr>
        <w:t>且其含量高于方法检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定性判</w:t>
      </w:r>
      <w:r>
        <w:rPr>
          <w:szCs w:val="21"/>
        </w:rPr>
        <w:t>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adjustRightInd w:val="0"/>
        <w:snapToGrid w:val="0"/>
        <w:spacing w:line="320" w:lineRule="exact"/>
        <w:ind w:firstLine="360" w:firstLineChars="200"/>
        <w:rPr>
          <w:rFonts w:ascii="黑体"/>
          <w:kern w:val="0"/>
          <w:sz w:val="18"/>
          <w:szCs w:val="18"/>
        </w:rPr>
      </w:pPr>
      <w:r>
        <w:rPr>
          <w:rFonts w:hint="eastAsia" w:ascii="黑体" w:eastAsia="黑体"/>
          <w:kern w:val="0"/>
          <w:sz w:val="18"/>
          <w:szCs w:val="18"/>
        </w:rPr>
        <w:t>注：1</w:t>
      </w:r>
      <w:r>
        <w:rPr>
          <w:rFonts w:ascii="黑体" w:eastAsia="黑体"/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GB 2763</w:t>
      </w:r>
      <w:r>
        <w:rPr>
          <w:rFonts w:hint="eastAsia" w:ascii="黑体"/>
          <w:kern w:val="0"/>
          <w:sz w:val="18"/>
          <w:szCs w:val="18"/>
        </w:rPr>
        <w:t>中不同蔬菜、水果基质的农药限量要求不同，当某项检测结果为阳性时，可按“</w:t>
      </w:r>
      <w:r>
        <w:rPr>
          <w:kern w:val="0"/>
          <w:sz w:val="18"/>
          <w:szCs w:val="18"/>
        </w:rPr>
        <w:t>6.3.1.1</w:t>
      </w:r>
      <w:r>
        <w:rPr>
          <w:rFonts w:hint="eastAsia" w:ascii="黑体"/>
          <w:kern w:val="0"/>
          <w:sz w:val="18"/>
          <w:szCs w:val="18"/>
        </w:rPr>
        <w:t xml:space="preserve"> 其待测液处理方式见下表。”采用对待测液进一步稀释处理进行复测。</w:t>
      </w:r>
    </w:p>
    <w:p>
      <w:pPr>
        <w:adjustRightInd w:val="0"/>
        <w:snapToGrid w:val="0"/>
        <w:spacing w:line="320" w:lineRule="exact"/>
        <w:ind w:firstLine="360" w:firstLineChars="200"/>
        <w:rPr>
          <w:rFonts w:ascii="黑体"/>
          <w:kern w:val="0"/>
          <w:sz w:val="18"/>
          <w:szCs w:val="18"/>
        </w:rPr>
      </w:pPr>
      <w:r>
        <w:rPr>
          <w:rFonts w:hint="eastAsia" w:ascii="黑体"/>
          <w:kern w:val="0"/>
          <w:sz w:val="18"/>
          <w:szCs w:val="18"/>
        </w:rPr>
        <w:t>2</w:t>
      </w:r>
      <w:r>
        <w:rPr>
          <w:rFonts w:ascii="黑体"/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GB 2763</w:t>
      </w:r>
      <w:r>
        <w:rPr>
          <w:rFonts w:hint="eastAsia" w:ascii="黑体"/>
          <w:kern w:val="0"/>
          <w:sz w:val="18"/>
          <w:szCs w:val="18"/>
        </w:rPr>
        <w:t>中不同蔬菜、水果基质的农药限量要求不同，见下表。</w:t>
      </w:r>
    </w:p>
    <w:tbl>
      <w:tblPr>
        <w:tblStyle w:val="31"/>
        <w:tblW w:w="7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623"/>
        <w:gridCol w:w="1827"/>
        <w:gridCol w:w="163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基质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啶虫脒（mg/kg）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阿维菌素（mg/kg）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戊唑醇（mg/kg）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烯酰吗啉（mg/kg）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大蒜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洋葱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葱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结球甘蓝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青花菜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芹菜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茄子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0.2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食荚豌豆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苦瓜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0.05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番木瓜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0.1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</w:tr>
    </w:tbl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</w:p>
    <w:p>
      <w:pPr>
        <w:jc w:val="center"/>
        <w:rPr>
          <w:rFonts w:eastAsiaTheme="minorEastAsia"/>
          <w:szCs w:val="21"/>
        </w:rPr>
      </w:pPr>
      <w:r>
        <w:rPr>
          <w:szCs w:val="21"/>
        </w:rPr>
        <w:drawing>
          <wp:inline distT="0" distB="0" distL="0" distR="0">
            <wp:extent cx="3689350" cy="2559050"/>
            <wp:effectExtent l="19050" t="0" r="0" b="0"/>
            <wp:docPr id="7" name="图片 1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5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图1</w:t>
      </w:r>
    </w:p>
    <w:p>
      <w:pPr>
        <w:pStyle w:val="39"/>
      </w:pPr>
      <w:r>
        <w:rPr>
          <w:rFonts w:hint="eastAsia"/>
        </w:rPr>
        <w:t>胶体金读数仪法</w:t>
      </w:r>
    </w:p>
    <w:p>
      <w:pPr>
        <w:pStyle w:val="22"/>
      </w:pPr>
      <w:r>
        <w:rPr>
          <w:rFonts w:hint="eastAsia"/>
        </w:rPr>
        <w:t>按照胶体金读数仪说明书进行操作，直接读取检测结果，并按胶体金读数仪说明书进行判定。质控试验结果不符合要求时，同批次所有检测结果判定为无效结果。</w:t>
      </w:r>
    </w:p>
    <w:p>
      <w:pPr>
        <w:pStyle w:val="39"/>
      </w:pPr>
      <w:r>
        <w:t>质控试验结果</w:t>
      </w:r>
    </w:p>
    <w:p>
      <w:pPr>
        <w:ind w:firstLine="420" w:firstLineChars="200"/>
        <w:jc w:val="left"/>
        <w:rPr>
          <w:sz w:val="18"/>
          <w:szCs w:val="18"/>
        </w:rPr>
      </w:pPr>
      <w:r>
        <w:rPr>
          <w:szCs w:val="21"/>
        </w:rPr>
        <w:t>空白试验测定结果应为阴性</w:t>
      </w:r>
      <w:r>
        <w:rPr>
          <w:rFonts w:hint="eastAsia"/>
          <w:szCs w:val="21"/>
        </w:rPr>
        <w:t>结果</w:t>
      </w:r>
      <w:r>
        <w:rPr>
          <w:szCs w:val="21"/>
        </w:rPr>
        <w:t>，加标质控试验测定结果应为阳性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2"/>
      </w:pPr>
      <w:bookmarkStart w:id="23" w:name="_Toc93438958"/>
      <w:r>
        <w:rPr>
          <w:rFonts w:hint="eastAsia"/>
        </w:rPr>
        <w:t>结论</w:t>
      </w:r>
      <w:bookmarkEnd w:id="23"/>
    </w:p>
    <w:p>
      <w:pPr>
        <w:pStyle w:val="22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当</w:t>
      </w:r>
      <w:r>
        <w:rPr>
          <w:rFonts w:hint="eastAsia" w:ascii="Times New Roman"/>
          <w:kern w:val="2"/>
          <w:szCs w:val="21"/>
        </w:rPr>
        <w:t>定性</w:t>
      </w:r>
      <w:r>
        <w:rPr>
          <w:rFonts w:ascii="Times New Roman"/>
          <w:kern w:val="2"/>
          <w:szCs w:val="21"/>
        </w:rPr>
        <w:t>检测结果为阳性</w:t>
      </w:r>
      <w:r>
        <w:rPr>
          <w:rFonts w:hint="eastAsia" w:ascii="Times New Roman"/>
          <w:kern w:val="2"/>
          <w:szCs w:val="21"/>
        </w:rPr>
        <w:t>，稀释复测后还为阳性时</w:t>
      </w:r>
      <w:r>
        <w:rPr>
          <w:rFonts w:ascii="Times New Roman"/>
          <w:kern w:val="2"/>
          <w:szCs w:val="21"/>
        </w:rPr>
        <w:t>，应</w:t>
      </w:r>
      <w:r>
        <w:rPr>
          <w:szCs w:val="21"/>
        </w:rPr>
        <w:t>采用</w:t>
      </w:r>
      <w:r>
        <w:rPr>
          <w:rFonts w:hint="eastAsia" w:ascii="Times New Roman"/>
        </w:rPr>
        <w:t>指定</w:t>
      </w:r>
      <w:r>
        <w:rPr>
          <w:szCs w:val="21"/>
        </w:rPr>
        <w:t>参比方法</w:t>
      </w:r>
      <w:r>
        <w:rPr>
          <w:rFonts w:ascii="Times New Roman"/>
          <w:kern w:val="2"/>
          <w:szCs w:val="21"/>
        </w:rPr>
        <w:t>对结果进行确证。</w:t>
      </w:r>
    </w:p>
    <w:p>
      <w:pPr>
        <w:pStyle w:val="42"/>
      </w:pPr>
      <w:bookmarkStart w:id="24" w:name="_Toc93438959"/>
      <w:r>
        <w:rPr>
          <w:rFonts w:hint="eastAsia"/>
        </w:rPr>
        <w:t>性能指标</w:t>
      </w:r>
      <w:bookmarkEnd w:id="24"/>
    </w:p>
    <w:p>
      <w:pPr>
        <w:pStyle w:val="39"/>
      </w:pPr>
      <w:r>
        <w:t>检</w:t>
      </w:r>
      <w:r>
        <w:rPr>
          <w:rFonts w:hint="eastAsia"/>
        </w:rPr>
        <w:t>出</w:t>
      </w:r>
      <w:r>
        <w:t>限</w:t>
      </w:r>
    </w:p>
    <w:p>
      <w:pPr>
        <w:pStyle w:val="43"/>
        <w:spacing w:before="156" w:after="156"/>
      </w:pPr>
      <w:r>
        <w:rPr>
          <w:rFonts w:hint="eastAsia"/>
        </w:rPr>
        <w:t>检出限</w:t>
      </w:r>
    </w:p>
    <w:p>
      <w:pPr>
        <w:ind w:firstLine="420" w:firstLineChars="200"/>
        <w:rPr>
          <w:rFonts w:hAnsi="宋体"/>
        </w:rPr>
      </w:pPr>
      <w:r>
        <w:rPr>
          <w:rFonts w:hint="eastAsia" w:ascii="宋体"/>
          <w:szCs w:val="21"/>
        </w:rPr>
        <w:t>大蒜，洋葱，葱，结球甘蓝，青花菜，芹菜，茄子，食荚豌豆，苦瓜，番木瓜</w:t>
      </w:r>
      <w:r>
        <w:rPr>
          <w:rFonts w:hint="eastAsia" w:ascii="宋体" w:hAnsi="宋体" w:cs="宋体"/>
          <w:szCs w:val="21"/>
        </w:rPr>
        <w:t>中啶虫脒、阿维菌素、戊唑醇和烯酰吗啉的检出限均为</w:t>
      </w:r>
      <w:r>
        <w:rPr>
          <w:rFonts w:hint="eastAsia" w:hAnsi="宋体"/>
        </w:rPr>
        <w:t>0.05 mg/kg。</w:t>
      </w:r>
    </w:p>
    <w:p>
      <w:pPr>
        <w:pStyle w:val="39"/>
      </w:pPr>
      <w:r>
        <w:t>灵敏度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灵敏度：</w:t>
      </w:r>
      <w:r>
        <w:rPr>
          <w:rFonts w:hint="eastAsia"/>
          <w:szCs w:val="21"/>
        </w:rPr>
        <w:t>≥</w:t>
      </w:r>
      <w:r>
        <w:rPr>
          <w:szCs w:val="21"/>
        </w:rPr>
        <w:t>95%。</w:t>
      </w:r>
    </w:p>
    <w:p>
      <w:pPr>
        <w:pStyle w:val="39"/>
      </w:pPr>
      <w:r>
        <w:t>特异性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特异性：≥90%</w:t>
      </w:r>
    </w:p>
    <w:p>
      <w:pPr>
        <w:pStyle w:val="39"/>
      </w:pPr>
      <w:r>
        <w:t>假阴性率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假阴性率：</w:t>
      </w:r>
      <w:r>
        <w:rPr>
          <w:rFonts w:hint="eastAsia"/>
          <w:szCs w:val="21"/>
        </w:rPr>
        <w:t>≤</w:t>
      </w:r>
      <w:r>
        <w:rPr>
          <w:szCs w:val="21"/>
        </w:rPr>
        <w:t>5%。</w:t>
      </w:r>
    </w:p>
    <w:p>
      <w:pPr>
        <w:pStyle w:val="39"/>
      </w:pPr>
      <w:r>
        <w:t>假阳性率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假阳性率：</w:t>
      </w:r>
      <w:r>
        <w:rPr>
          <w:rFonts w:hint="eastAsia"/>
          <w:szCs w:val="21"/>
        </w:rPr>
        <w:t>≤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%。</w:t>
      </w:r>
    </w:p>
    <w:p>
      <w:pPr>
        <w:adjustRightInd w:val="0"/>
        <w:snapToGrid w:val="0"/>
        <w:spacing w:before="156" w:beforeLines="50"/>
        <w:ind w:firstLine="36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性能指标计算方法见附录A。</w:t>
      </w:r>
    </w:p>
    <w:p>
      <w:pPr>
        <w:pStyle w:val="42"/>
      </w:pPr>
      <w:bookmarkStart w:id="25" w:name="_Toc93438960"/>
      <w:r>
        <w:t>其他</w:t>
      </w:r>
      <w:bookmarkEnd w:id="25"/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本方法分析步骤和结果判定可以根据厂家试剂盒的说明书进行，但应符合或优于本方法规定的性能指标。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>
      <w:pPr>
        <w:spacing w:before="156" w:beforeLines="50" w:after="156" w:afterLines="50"/>
        <w:ind w:firstLine="420" w:firstLineChars="200"/>
        <w:rPr>
          <w:szCs w:val="21"/>
        </w:rPr>
      </w:pPr>
      <w:r>
        <w:rPr>
          <w:szCs w:val="21"/>
        </w:rPr>
        <w:t>本方法参比方法为</w:t>
      </w:r>
      <w:r>
        <w:rPr>
          <w:rFonts w:hint="eastAsia"/>
          <w:szCs w:val="21"/>
        </w:rPr>
        <w:t>啶虫脒：</w:t>
      </w:r>
      <w:r>
        <w:rPr>
          <w:color w:val="000000"/>
          <w:szCs w:val="21"/>
        </w:rPr>
        <w:t>GB</w:t>
      </w:r>
      <w:r>
        <w:rPr>
          <w:rFonts w:hint="eastAsia"/>
          <w:color w:val="000000"/>
          <w:szCs w:val="21"/>
        </w:rPr>
        <w:t>/</w:t>
      </w:r>
      <w:r>
        <w:rPr>
          <w:color w:val="000000"/>
          <w:szCs w:val="21"/>
        </w:rPr>
        <w:t xml:space="preserve">T 20769-2008 </w:t>
      </w:r>
      <w:r>
        <w:rPr>
          <w:rFonts w:hint="eastAsia"/>
          <w:color w:val="000000"/>
          <w:szCs w:val="21"/>
        </w:rPr>
        <w:t>《</w:t>
      </w:r>
      <w:r>
        <w:rPr>
          <w:rFonts w:hint="eastAsia" w:ascii="宋体" w:hAnsi="宋体" w:cs="宋体"/>
          <w:color w:val="000000"/>
          <w:szCs w:val="21"/>
        </w:rPr>
        <w:t>水果和蔬菜中450种农药及相关化学品残留量的测定 液相色谱-串联质谱法》；阿维菌素：</w:t>
      </w:r>
      <w:r>
        <w:rPr>
          <w:szCs w:val="21"/>
        </w:rPr>
        <w:t>GB 23200.1</w:t>
      </w:r>
      <w:r>
        <w:rPr>
          <w:rFonts w:hint="eastAsia"/>
          <w:szCs w:val="21"/>
        </w:rPr>
        <w:t>9</w:t>
      </w:r>
      <w:r>
        <w:rPr>
          <w:szCs w:val="21"/>
        </w:rPr>
        <w:t xml:space="preserve">《食品安全国家标准 </w:t>
      </w:r>
      <w:r>
        <w:rPr>
          <w:rFonts w:hint="eastAsia"/>
          <w:szCs w:val="21"/>
        </w:rPr>
        <w:t>水果蔬菜中阿维菌素</w:t>
      </w:r>
      <w:r>
        <w:rPr>
          <w:szCs w:val="21"/>
        </w:rPr>
        <w:t xml:space="preserve">残留量的测定 </w:t>
      </w:r>
      <w:r>
        <w:rPr>
          <w:rFonts w:hint="eastAsia"/>
          <w:szCs w:val="21"/>
        </w:rPr>
        <w:t>液相色谱</w:t>
      </w:r>
      <w:r>
        <w:rPr>
          <w:szCs w:val="21"/>
        </w:rPr>
        <w:t>法》</w:t>
      </w:r>
      <w:r>
        <w:rPr>
          <w:rFonts w:hint="eastAsia"/>
          <w:szCs w:val="21"/>
        </w:rPr>
        <w:t>；戊唑醇：</w:t>
      </w:r>
      <w:r>
        <w:rPr>
          <w:szCs w:val="21"/>
        </w:rPr>
        <w:t>GB 23200.113-2018《食品安全国家标准 植物源性食品中208种农药及其代谢物残留量的测定 气相色谱-质谱联用法》</w:t>
      </w:r>
      <w:r>
        <w:rPr>
          <w:rFonts w:hint="eastAsia"/>
          <w:szCs w:val="21"/>
        </w:rPr>
        <w:t>；烯酰吗啉：</w:t>
      </w:r>
      <w:r>
        <w:rPr>
          <w:color w:val="000000"/>
          <w:szCs w:val="21"/>
        </w:rPr>
        <w:t>GB</w:t>
      </w:r>
      <w:r>
        <w:rPr>
          <w:rFonts w:hint="eastAsia"/>
          <w:color w:val="000000"/>
          <w:szCs w:val="21"/>
        </w:rPr>
        <w:t>/</w:t>
      </w:r>
      <w:r>
        <w:rPr>
          <w:color w:val="000000"/>
          <w:szCs w:val="21"/>
        </w:rPr>
        <w:t xml:space="preserve">T 20769-2008 </w:t>
      </w:r>
      <w:r>
        <w:rPr>
          <w:rFonts w:hint="eastAsia"/>
          <w:color w:val="000000"/>
          <w:szCs w:val="21"/>
        </w:rPr>
        <w:t>《</w:t>
      </w:r>
      <w:r>
        <w:rPr>
          <w:rFonts w:hint="eastAsia" w:ascii="宋体" w:hAnsi="宋体" w:cs="宋体"/>
          <w:color w:val="000000"/>
          <w:szCs w:val="21"/>
        </w:rPr>
        <w:t>水果和蔬菜中450种农药及相关化学品残留量的测定 液相色谱-串联质谱法》。</w:t>
      </w: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  <w:ind w:firstLine="0" w:firstLineChars="0"/>
      </w:pPr>
    </w:p>
    <w:p>
      <w:pPr>
        <w:pStyle w:val="42"/>
        <w:numPr>
          <w:ilvl w:val="0"/>
          <w:numId w:val="0"/>
        </w:numPr>
        <w:spacing w:beforeLines="0" w:afterLines="0"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6" w:name="_Toc93438961"/>
      <w:bookmarkStart w:id="27" w:name="_Toc92036777"/>
      <w:r>
        <w:rPr>
          <w:color w:val="000000" w:themeColor="text1"/>
          <w14:textFill>
            <w14:solidFill>
              <w14:schemeClr w14:val="tx1"/>
            </w14:solidFill>
          </w14:textFill>
        </w:rPr>
        <w:t>附录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bookmarkEnd w:id="26"/>
      <w:bookmarkEnd w:id="27"/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8" w:name="_Toc9661_WPSOffice_Level1"/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（规范性）</w:t>
      </w:r>
    </w:p>
    <w:p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bookmarkStart w:id="29" w:name="_Toc93438962"/>
      <w:r>
        <w:rPr>
          <w:rFonts w:ascii="宋体" w:hAnsi="宋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定性方法性能指标计算表</w:t>
      </w:r>
      <w:bookmarkEnd w:id="28"/>
      <w:bookmarkEnd w:id="29"/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0" w:name="_Toc4952_WPSOffice_Level1"/>
      <w:bookmarkStart w:id="31" w:name="_Toc26872_WPSOffice_Level1"/>
      <w:bookmarkStart w:id="32" w:name="_Toc23946_WPSOffice_Level1"/>
      <w:bookmarkStart w:id="33" w:name="_Toc16121_WPSOffice_Level1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定性方法各个性能指标计算见表A.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730"/>
        </w:tabs>
        <w:spacing w:before="156" w:beforeLines="50" w:after="156" w:afterLines="50"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定性方法</w: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性能指标计算方法</w:t>
      </w:r>
    </w:p>
    <w:bookmarkEnd w:id="30"/>
    <w:bookmarkEnd w:id="31"/>
    <w:bookmarkEnd w:id="32"/>
    <w:bookmarkEnd w:id="33"/>
    <w:tbl>
      <w:tblPr>
        <w:tblStyle w:val="30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20"/>
        <w:gridCol w:w="19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样品情况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检测结果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26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N1.=N11+N12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N2.=N21+N22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N.1=N11+N21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N.2=N12+N22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N=N1.+N2.或N.1+N.2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显著性差异（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=（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N12-N21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-1）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/（N12+N21），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自由度（df）=1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灵敏度（p+，%）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p+=N11/N1.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特异性（p-，%）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p-=N22/N2.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假阴性率（pf-，%）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pf-=N12/N1.=100-灵敏度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假阳性率（pf+，%）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pf+=N21/N2.=100-特异性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相对准确度，%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（N11+N22）/(N1.+N2.)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由参比方法检验得到的结果或者样品中实际的公议值结果；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由待确认方法检验得到的结果。灵敏度的计算使用确认后的结果。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N：任何特定单元的结果数，第一个下标指行，第二个下标指列。例如：N11表示第一行，第一列，N1.表示所有的第一行，N.2表示所有的第二列；N12表示第一行，第二列。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为方法的检测结果相对准确性的结果，与一致性分析和浓度检测趋势情况综合评价。</w:t>
            </w:r>
          </w:p>
        </w:tc>
      </w:tr>
    </w:tbl>
    <w:p>
      <w:pPr>
        <w:pStyle w:val="2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</w:pPr>
    </w:p>
    <w:p>
      <w:pPr>
        <w:pStyle w:val="126"/>
        <w:framePr w:wrap="around"/>
      </w:pPr>
      <w:r>
        <w:t>_________________________________</w:t>
      </w:r>
    </w:p>
    <w:sectPr>
      <w:headerReference r:id="rId8" w:type="even"/>
      <w:footerReference r:id="rId9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139170"/>
    </w:sdtPr>
    <w:sdtContent>
      <w:p>
        <w:pPr>
          <w:pStyle w:val="16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08946"/>
    </w:sdtPr>
    <w:sdtContent>
      <w:p>
        <w:pPr>
          <w:pStyle w:val="16"/>
          <w:jc w:val="lef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t>T/SATA</w:t>
    </w:r>
    <w:r>
      <w:rPr>
        <w:rFonts w:hint="eastAsia"/>
      </w:rPr>
      <w:t xml:space="preserve"> </w:t>
    </w:r>
    <w:r>
      <w:t>XXX</w:t>
    </w:r>
    <w:r>
      <w:rPr>
        <w:rFonts w:hint="eastAsia"/>
      </w:rPr>
      <w:t>-20</w:t>
    </w:r>
    <w: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2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8"/>
      <w:suff w:val="nothing"/>
      <w:lvlText w:val="%1.%2.%3.%4　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pStyle w:val="5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  <w:num w:numId="19">
    <w:abstractNumId w:val="6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683"/>
    <w:rsid w:val="00035925"/>
    <w:rsid w:val="000671D3"/>
    <w:rsid w:val="00067CDF"/>
    <w:rsid w:val="00072A4F"/>
    <w:rsid w:val="00074FBE"/>
    <w:rsid w:val="00083A09"/>
    <w:rsid w:val="0009005E"/>
    <w:rsid w:val="00092857"/>
    <w:rsid w:val="000A20A9"/>
    <w:rsid w:val="000A48B1"/>
    <w:rsid w:val="000B3143"/>
    <w:rsid w:val="000C25F8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4540"/>
    <w:rsid w:val="001056DE"/>
    <w:rsid w:val="001058FF"/>
    <w:rsid w:val="001124C0"/>
    <w:rsid w:val="001143D8"/>
    <w:rsid w:val="00122817"/>
    <w:rsid w:val="00126714"/>
    <w:rsid w:val="0013175F"/>
    <w:rsid w:val="00144285"/>
    <w:rsid w:val="001512B4"/>
    <w:rsid w:val="001620A5"/>
    <w:rsid w:val="00162506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2597"/>
    <w:rsid w:val="001B6DC2"/>
    <w:rsid w:val="001C149C"/>
    <w:rsid w:val="001C21AC"/>
    <w:rsid w:val="001C47BA"/>
    <w:rsid w:val="001C59EA"/>
    <w:rsid w:val="001C7AE9"/>
    <w:rsid w:val="001D406C"/>
    <w:rsid w:val="001D41EE"/>
    <w:rsid w:val="001E0380"/>
    <w:rsid w:val="001E13B1"/>
    <w:rsid w:val="001F2CF6"/>
    <w:rsid w:val="001F3A19"/>
    <w:rsid w:val="00200513"/>
    <w:rsid w:val="00204A47"/>
    <w:rsid w:val="00234467"/>
    <w:rsid w:val="00237D8D"/>
    <w:rsid w:val="00241DA2"/>
    <w:rsid w:val="00247FEE"/>
    <w:rsid w:val="00250E7D"/>
    <w:rsid w:val="0025356C"/>
    <w:rsid w:val="002538AE"/>
    <w:rsid w:val="002565D5"/>
    <w:rsid w:val="002622C0"/>
    <w:rsid w:val="00265803"/>
    <w:rsid w:val="002778AE"/>
    <w:rsid w:val="0028269A"/>
    <w:rsid w:val="00283590"/>
    <w:rsid w:val="00286973"/>
    <w:rsid w:val="00292620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2F2521"/>
    <w:rsid w:val="00300AB0"/>
    <w:rsid w:val="00301F39"/>
    <w:rsid w:val="0031447B"/>
    <w:rsid w:val="00320CC4"/>
    <w:rsid w:val="00325926"/>
    <w:rsid w:val="003266B5"/>
    <w:rsid w:val="00327A8A"/>
    <w:rsid w:val="00336610"/>
    <w:rsid w:val="00343F73"/>
    <w:rsid w:val="00345060"/>
    <w:rsid w:val="00350841"/>
    <w:rsid w:val="0035323B"/>
    <w:rsid w:val="003609D2"/>
    <w:rsid w:val="00363F22"/>
    <w:rsid w:val="00375564"/>
    <w:rsid w:val="0037685F"/>
    <w:rsid w:val="00382C93"/>
    <w:rsid w:val="003830FF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06E"/>
    <w:rsid w:val="003C75F3"/>
    <w:rsid w:val="003C78A3"/>
    <w:rsid w:val="003D2EAC"/>
    <w:rsid w:val="003E1867"/>
    <w:rsid w:val="003E5729"/>
    <w:rsid w:val="003E6186"/>
    <w:rsid w:val="003F1BED"/>
    <w:rsid w:val="003F4EE0"/>
    <w:rsid w:val="00402153"/>
    <w:rsid w:val="00402FC1"/>
    <w:rsid w:val="00404056"/>
    <w:rsid w:val="00407B37"/>
    <w:rsid w:val="00425082"/>
    <w:rsid w:val="00430F46"/>
    <w:rsid w:val="00431DEB"/>
    <w:rsid w:val="00432635"/>
    <w:rsid w:val="0043509B"/>
    <w:rsid w:val="00442E9D"/>
    <w:rsid w:val="00445265"/>
    <w:rsid w:val="00446B29"/>
    <w:rsid w:val="00453449"/>
    <w:rsid w:val="00453F9A"/>
    <w:rsid w:val="00471E91"/>
    <w:rsid w:val="00474675"/>
    <w:rsid w:val="0047470C"/>
    <w:rsid w:val="004A35F9"/>
    <w:rsid w:val="004A449E"/>
    <w:rsid w:val="004B24C1"/>
    <w:rsid w:val="004C1DEC"/>
    <w:rsid w:val="004C292F"/>
    <w:rsid w:val="004C34C0"/>
    <w:rsid w:val="00510280"/>
    <w:rsid w:val="00513D73"/>
    <w:rsid w:val="00514A43"/>
    <w:rsid w:val="0051732B"/>
    <w:rsid w:val="005174E5"/>
    <w:rsid w:val="00522393"/>
    <w:rsid w:val="00522620"/>
    <w:rsid w:val="00525656"/>
    <w:rsid w:val="00534C02"/>
    <w:rsid w:val="005358AB"/>
    <w:rsid w:val="0054264B"/>
    <w:rsid w:val="00543786"/>
    <w:rsid w:val="00547870"/>
    <w:rsid w:val="00551878"/>
    <w:rsid w:val="005533D7"/>
    <w:rsid w:val="00560727"/>
    <w:rsid w:val="005703DE"/>
    <w:rsid w:val="00574029"/>
    <w:rsid w:val="005757F8"/>
    <w:rsid w:val="0058464E"/>
    <w:rsid w:val="00593B48"/>
    <w:rsid w:val="0059778B"/>
    <w:rsid w:val="005A01CB"/>
    <w:rsid w:val="005A0BBC"/>
    <w:rsid w:val="005A58FF"/>
    <w:rsid w:val="005A5EAF"/>
    <w:rsid w:val="005A64C0"/>
    <w:rsid w:val="005B0346"/>
    <w:rsid w:val="005B3C11"/>
    <w:rsid w:val="005C1C28"/>
    <w:rsid w:val="005C2AF7"/>
    <w:rsid w:val="005C5383"/>
    <w:rsid w:val="005C6DB5"/>
    <w:rsid w:val="005C6DCE"/>
    <w:rsid w:val="005D15CF"/>
    <w:rsid w:val="005E19E7"/>
    <w:rsid w:val="005F0D35"/>
    <w:rsid w:val="005F36FE"/>
    <w:rsid w:val="006166FA"/>
    <w:rsid w:val="0061716C"/>
    <w:rsid w:val="00623337"/>
    <w:rsid w:val="006237CF"/>
    <w:rsid w:val="006243A1"/>
    <w:rsid w:val="00624F90"/>
    <w:rsid w:val="00626518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6487"/>
    <w:rsid w:val="006B75DD"/>
    <w:rsid w:val="006C67E0"/>
    <w:rsid w:val="006C7ABA"/>
    <w:rsid w:val="006D0D60"/>
    <w:rsid w:val="006D1122"/>
    <w:rsid w:val="006D3C00"/>
    <w:rsid w:val="006D6CF4"/>
    <w:rsid w:val="006E3675"/>
    <w:rsid w:val="006E3FE2"/>
    <w:rsid w:val="006E4A7F"/>
    <w:rsid w:val="00704DF6"/>
    <w:rsid w:val="0070651C"/>
    <w:rsid w:val="007132A3"/>
    <w:rsid w:val="00716421"/>
    <w:rsid w:val="00722C13"/>
    <w:rsid w:val="00724EFB"/>
    <w:rsid w:val="00733513"/>
    <w:rsid w:val="007419C3"/>
    <w:rsid w:val="00743C77"/>
    <w:rsid w:val="00744F22"/>
    <w:rsid w:val="007467A7"/>
    <w:rsid w:val="007469DD"/>
    <w:rsid w:val="0074723C"/>
    <w:rsid w:val="0074741B"/>
    <w:rsid w:val="0074759E"/>
    <w:rsid w:val="007478EA"/>
    <w:rsid w:val="0075415C"/>
    <w:rsid w:val="00760962"/>
    <w:rsid w:val="00763502"/>
    <w:rsid w:val="007720A2"/>
    <w:rsid w:val="00790584"/>
    <w:rsid w:val="007913AB"/>
    <w:rsid w:val="007914F7"/>
    <w:rsid w:val="00795FC8"/>
    <w:rsid w:val="007B1625"/>
    <w:rsid w:val="007B706E"/>
    <w:rsid w:val="007B71EB"/>
    <w:rsid w:val="007C6205"/>
    <w:rsid w:val="007C686A"/>
    <w:rsid w:val="007C728E"/>
    <w:rsid w:val="007D2C53"/>
    <w:rsid w:val="007D3D60"/>
    <w:rsid w:val="007E09CB"/>
    <w:rsid w:val="007E105F"/>
    <w:rsid w:val="007E1980"/>
    <w:rsid w:val="007E4B76"/>
    <w:rsid w:val="007E5EA8"/>
    <w:rsid w:val="007F0CF1"/>
    <w:rsid w:val="007F12A5"/>
    <w:rsid w:val="007F4CF1"/>
    <w:rsid w:val="007F758D"/>
    <w:rsid w:val="007F7D52"/>
    <w:rsid w:val="008009FC"/>
    <w:rsid w:val="0080654C"/>
    <w:rsid w:val="008071C6"/>
    <w:rsid w:val="00817A00"/>
    <w:rsid w:val="008250AC"/>
    <w:rsid w:val="00835DB3"/>
    <w:rsid w:val="0083617B"/>
    <w:rsid w:val="008371BD"/>
    <w:rsid w:val="00840C6E"/>
    <w:rsid w:val="008472EC"/>
    <w:rsid w:val="008504A8"/>
    <w:rsid w:val="0085282E"/>
    <w:rsid w:val="00853005"/>
    <w:rsid w:val="0087090D"/>
    <w:rsid w:val="00871811"/>
    <w:rsid w:val="0087198C"/>
    <w:rsid w:val="00872C1F"/>
    <w:rsid w:val="00873B42"/>
    <w:rsid w:val="008856D8"/>
    <w:rsid w:val="00892E82"/>
    <w:rsid w:val="0089366C"/>
    <w:rsid w:val="008B0704"/>
    <w:rsid w:val="008C1B58"/>
    <w:rsid w:val="008C39AE"/>
    <w:rsid w:val="008C590D"/>
    <w:rsid w:val="008C7BBA"/>
    <w:rsid w:val="008E031B"/>
    <w:rsid w:val="008E6BB6"/>
    <w:rsid w:val="008E7029"/>
    <w:rsid w:val="008E7EF6"/>
    <w:rsid w:val="008F1F98"/>
    <w:rsid w:val="008F6758"/>
    <w:rsid w:val="009040DD"/>
    <w:rsid w:val="00905B47"/>
    <w:rsid w:val="00907FFE"/>
    <w:rsid w:val="0091331C"/>
    <w:rsid w:val="009279DE"/>
    <w:rsid w:val="00930116"/>
    <w:rsid w:val="009338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3A3B"/>
    <w:rsid w:val="009877D3"/>
    <w:rsid w:val="00994E8F"/>
    <w:rsid w:val="009951DC"/>
    <w:rsid w:val="009959BB"/>
    <w:rsid w:val="00997158"/>
    <w:rsid w:val="009A3A7C"/>
    <w:rsid w:val="009B2ADB"/>
    <w:rsid w:val="009B603A"/>
    <w:rsid w:val="009C0B7F"/>
    <w:rsid w:val="009C2D0E"/>
    <w:rsid w:val="009C3DAC"/>
    <w:rsid w:val="009C42E0"/>
    <w:rsid w:val="009C6A30"/>
    <w:rsid w:val="009D5362"/>
    <w:rsid w:val="009E1415"/>
    <w:rsid w:val="009E6116"/>
    <w:rsid w:val="00A02E43"/>
    <w:rsid w:val="00A065F9"/>
    <w:rsid w:val="00A06991"/>
    <w:rsid w:val="00A07F34"/>
    <w:rsid w:val="00A22154"/>
    <w:rsid w:val="00A22413"/>
    <w:rsid w:val="00A25C38"/>
    <w:rsid w:val="00A3486F"/>
    <w:rsid w:val="00A36BBE"/>
    <w:rsid w:val="00A4307A"/>
    <w:rsid w:val="00A47EBB"/>
    <w:rsid w:val="00A515D6"/>
    <w:rsid w:val="00A51CDD"/>
    <w:rsid w:val="00A6730D"/>
    <w:rsid w:val="00A71625"/>
    <w:rsid w:val="00A71B9B"/>
    <w:rsid w:val="00A751C7"/>
    <w:rsid w:val="00A76773"/>
    <w:rsid w:val="00A800C4"/>
    <w:rsid w:val="00A8300D"/>
    <w:rsid w:val="00A87844"/>
    <w:rsid w:val="00AA038C"/>
    <w:rsid w:val="00AA42F6"/>
    <w:rsid w:val="00AA7A09"/>
    <w:rsid w:val="00AB2618"/>
    <w:rsid w:val="00AB3B50"/>
    <w:rsid w:val="00AB3E64"/>
    <w:rsid w:val="00AC05B1"/>
    <w:rsid w:val="00AD2103"/>
    <w:rsid w:val="00AD356C"/>
    <w:rsid w:val="00AE2914"/>
    <w:rsid w:val="00AE6D15"/>
    <w:rsid w:val="00B0091A"/>
    <w:rsid w:val="00B03BA9"/>
    <w:rsid w:val="00B04182"/>
    <w:rsid w:val="00B07AE3"/>
    <w:rsid w:val="00B11430"/>
    <w:rsid w:val="00B353EB"/>
    <w:rsid w:val="00B375CE"/>
    <w:rsid w:val="00B439C4"/>
    <w:rsid w:val="00B4535E"/>
    <w:rsid w:val="00B5295D"/>
    <w:rsid w:val="00B52A8C"/>
    <w:rsid w:val="00B636A8"/>
    <w:rsid w:val="00B665C6"/>
    <w:rsid w:val="00B7229B"/>
    <w:rsid w:val="00B72404"/>
    <w:rsid w:val="00B75515"/>
    <w:rsid w:val="00B805AF"/>
    <w:rsid w:val="00B869EC"/>
    <w:rsid w:val="00B9397A"/>
    <w:rsid w:val="00B9633D"/>
    <w:rsid w:val="00BA0B75"/>
    <w:rsid w:val="00BA2EBE"/>
    <w:rsid w:val="00BB0F28"/>
    <w:rsid w:val="00BB458A"/>
    <w:rsid w:val="00BC0731"/>
    <w:rsid w:val="00BD00D3"/>
    <w:rsid w:val="00BD1659"/>
    <w:rsid w:val="00BD3AA9"/>
    <w:rsid w:val="00BD4A18"/>
    <w:rsid w:val="00BD6DB2"/>
    <w:rsid w:val="00BE11CF"/>
    <w:rsid w:val="00BE21AB"/>
    <w:rsid w:val="00BE3068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2D87"/>
    <w:rsid w:val="00C464C5"/>
    <w:rsid w:val="00C601D2"/>
    <w:rsid w:val="00C638B8"/>
    <w:rsid w:val="00C65BCC"/>
    <w:rsid w:val="00C66970"/>
    <w:rsid w:val="00C714B1"/>
    <w:rsid w:val="00C76A9D"/>
    <w:rsid w:val="00C8691C"/>
    <w:rsid w:val="00CA168A"/>
    <w:rsid w:val="00CA357E"/>
    <w:rsid w:val="00CA44F9"/>
    <w:rsid w:val="00CA4A69"/>
    <w:rsid w:val="00CC39F5"/>
    <w:rsid w:val="00CC3E0C"/>
    <w:rsid w:val="00CC58D3"/>
    <w:rsid w:val="00CC784D"/>
    <w:rsid w:val="00CE13F4"/>
    <w:rsid w:val="00CF5AB3"/>
    <w:rsid w:val="00D0337B"/>
    <w:rsid w:val="00D079B2"/>
    <w:rsid w:val="00D114E9"/>
    <w:rsid w:val="00D156FD"/>
    <w:rsid w:val="00D26271"/>
    <w:rsid w:val="00D429C6"/>
    <w:rsid w:val="00D47748"/>
    <w:rsid w:val="00D54CC3"/>
    <w:rsid w:val="00D6041A"/>
    <w:rsid w:val="00D633EB"/>
    <w:rsid w:val="00D82FF7"/>
    <w:rsid w:val="00D837FE"/>
    <w:rsid w:val="00D847FE"/>
    <w:rsid w:val="00D8724A"/>
    <w:rsid w:val="00D964EA"/>
    <w:rsid w:val="00D966D0"/>
    <w:rsid w:val="00D96D1B"/>
    <w:rsid w:val="00D97F32"/>
    <w:rsid w:val="00DA0C59"/>
    <w:rsid w:val="00DA3991"/>
    <w:rsid w:val="00DA6834"/>
    <w:rsid w:val="00DA69CE"/>
    <w:rsid w:val="00DB0990"/>
    <w:rsid w:val="00DB671F"/>
    <w:rsid w:val="00DB7E6C"/>
    <w:rsid w:val="00DD5A29"/>
    <w:rsid w:val="00DD5D9D"/>
    <w:rsid w:val="00DE35CB"/>
    <w:rsid w:val="00DF21E9"/>
    <w:rsid w:val="00E009FA"/>
    <w:rsid w:val="00E00F14"/>
    <w:rsid w:val="00E06386"/>
    <w:rsid w:val="00E1172F"/>
    <w:rsid w:val="00E24EB4"/>
    <w:rsid w:val="00E320ED"/>
    <w:rsid w:val="00E33AFB"/>
    <w:rsid w:val="00E34218"/>
    <w:rsid w:val="00E3618F"/>
    <w:rsid w:val="00E46282"/>
    <w:rsid w:val="00E5216E"/>
    <w:rsid w:val="00E80209"/>
    <w:rsid w:val="00E8066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761"/>
    <w:rsid w:val="00EE2BED"/>
    <w:rsid w:val="00EE374B"/>
    <w:rsid w:val="00F11BB5"/>
    <w:rsid w:val="00F1417B"/>
    <w:rsid w:val="00F21504"/>
    <w:rsid w:val="00F34B99"/>
    <w:rsid w:val="00F52911"/>
    <w:rsid w:val="00F52DAB"/>
    <w:rsid w:val="00F53180"/>
    <w:rsid w:val="00F543F0"/>
    <w:rsid w:val="00F61123"/>
    <w:rsid w:val="00F769CA"/>
    <w:rsid w:val="00F81D29"/>
    <w:rsid w:val="00F8609B"/>
    <w:rsid w:val="00F91C4D"/>
    <w:rsid w:val="00F92FD9"/>
    <w:rsid w:val="00FA4FF9"/>
    <w:rsid w:val="00FA6684"/>
    <w:rsid w:val="00FA731E"/>
    <w:rsid w:val="00FB2B38"/>
    <w:rsid w:val="00FB7A10"/>
    <w:rsid w:val="00FC6358"/>
    <w:rsid w:val="00FD01CF"/>
    <w:rsid w:val="00FD231C"/>
    <w:rsid w:val="00FD320D"/>
    <w:rsid w:val="00FD3E3C"/>
    <w:rsid w:val="00FE23DE"/>
    <w:rsid w:val="00FF7F57"/>
    <w:rsid w:val="021D61DD"/>
    <w:rsid w:val="056035B4"/>
    <w:rsid w:val="05DE0E4B"/>
    <w:rsid w:val="0B5E2DA8"/>
    <w:rsid w:val="0C980F6D"/>
    <w:rsid w:val="120C5311"/>
    <w:rsid w:val="14233C8E"/>
    <w:rsid w:val="17B66DDE"/>
    <w:rsid w:val="180B0C94"/>
    <w:rsid w:val="18E216F1"/>
    <w:rsid w:val="19383287"/>
    <w:rsid w:val="19E144D8"/>
    <w:rsid w:val="1D23406A"/>
    <w:rsid w:val="1D29601A"/>
    <w:rsid w:val="1E936118"/>
    <w:rsid w:val="287B0D25"/>
    <w:rsid w:val="2FE20205"/>
    <w:rsid w:val="3B6B1406"/>
    <w:rsid w:val="3E09747F"/>
    <w:rsid w:val="465176DB"/>
    <w:rsid w:val="47E35172"/>
    <w:rsid w:val="482534A5"/>
    <w:rsid w:val="490B1BD7"/>
    <w:rsid w:val="4BC42683"/>
    <w:rsid w:val="4D1045B1"/>
    <w:rsid w:val="4E090F54"/>
    <w:rsid w:val="51A95043"/>
    <w:rsid w:val="5283316E"/>
    <w:rsid w:val="58BB5724"/>
    <w:rsid w:val="59992742"/>
    <w:rsid w:val="5B71367E"/>
    <w:rsid w:val="5B750A59"/>
    <w:rsid w:val="5C8A3B12"/>
    <w:rsid w:val="5DB01C5B"/>
    <w:rsid w:val="5E5D2F45"/>
    <w:rsid w:val="61D41351"/>
    <w:rsid w:val="63613868"/>
    <w:rsid w:val="66C72CBA"/>
    <w:rsid w:val="6C277ECB"/>
    <w:rsid w:val="6E0039FC"/>
    <w:rsid w:val="720E5EB3"/>
    <w:rsid w:val="728B49DD"/>
    <w:rsid w:val="751C0B78"/>
    <w:rsid w:val="75F67FB7"/>
    <w:rsid w:val="772048B0"/>
    <w:rsid w:val="785447FB"/>
    <w:rsid w:val="78DE55A7"/>
    <w:rsid w:val="7B2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32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36"/>
    <w:semiHidden/>
    <w:unhideWhenUsed/>
    <w:qFormat/>
    <w:uiPriority w:val="0"/>
    <w:rPr>
      <w:sz w:val="18"/>
      <w:szCs w:val="18"/>
    </w:rPr>
  </w:style>
  <w:style w:type="paragraph" w:styleId="16">
    <w:name w:val="footer"/>
    <w:basedOn w:val="1"/>
    <w:link w:val="135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link w:val="134"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9241"/>
      </w:tabs>
      <w:spacing w:before="78" w:beforeLines="25" w:after="78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1">
    <w:name w:val="Table Grid"/>
    <w:basedOn w:val="30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3">
    <w:name w:val="endnote reference"/>
    <w:semiHidden/>
    <w:qFormat/>
    <w:uiPriority w:val="0"/>
    <w:rPr>
      <w:vertAlign w:val="superscript"/>
    </w:r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FollowedHyperlink"/>
    <w:qFormat/>
    <w:uiPriority w:val="0"/>
    <w:rPr>
      <w:color w:val="800080"/>
      <w:u w:val="single"/>
    </w:rPr>
  </w:style>
  <w:style w:type="character" w:styleId="36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7">
    <w:name w:val="footnote reference"/>
    <w:semiHidden/>
    <w:qFormat/>
    <w:uiPriority w:val="0"/>
    <w:rPr>
      <w:vertAlign w:val="superscript"/>
    </w:rPr>
  </w:style>
  <w:style w:type="character" w:customStyle="1" w:styleId="38">
    <w:name w:val="段 Char"/>
    <w:link w:val="22"/>
    <w:qFormat/>
    <w:uiPriority w:val="0"/>
    <w:rPr>
      <w:rFonts w:ascii="宋体"/>
      <w:sz w:val="21"/>
      <w:lang w:val="en-US" w:eastAsia="zh-CN" w:bidi="ar-SA"/>
    </w:rPr>
  </w:style>
  <w:style w:type="paragraph" w:customStyle="1" w:styleId="39">
    <w:name w:val="一级条标题"/>
    <w:next w:val="22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章标题"/>
    <w:next w:val="22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二级条标题"/>
    <w:basedOn w:val="39"/>
    <w:next w:val="22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4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5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目次、标准名称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8">
    <w:name w:val="三级条标题"/>
    <w:basedOn w:val="1"/>
    <w:next w:val="22"/>
    <w:qFormat/>
    <w:uiPriority w:val="0"/>
    <w:pPr>
      <w:widowControl/>
      <w:numPr>
        <w:ilvl w:val="3"/>
        <w:numId w:val="2"/>
      </w:numPr>
      <w:spacing w:before="156" w:beforeLines="50" w:after="156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49">
    <w:name w:val="示例"/>
    <w:next w:val="50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四级条标题"/>
    <w:basedOn w:val="48"/>
    <w:next w:val="22"/>
    <w:qFormat/>
    <w:uiPriority w:val="0"/>
    <w:pPr>
      <w:numPr>
        <w:ilvl w:val="4"/>
      </w:numPr>
    </w:pPr>
  </w:style>
  <w:style w:type="paragraph" w:customStyle="1" w:styleId="53">
    <w:name w:val="五级条标题"/>
    <w:basedOn w:val="52"/>
    <w:next w:val="22"/>
    <w:qFormat/>
    <w:uiPriority w:val="0"/>
    <w:pPr>
      <w:numPr>
        <w:ilvl w:val="5"/>
      </w:numPr>
      <w:outlineLvl w:val="6"/>
    </w:pPr>
  </w:style>
  <w:style w:type="paragraph" w:customStyle="1" w:styleId="54">
    <w:name w:val="注："/>
    <w:next w:val="22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8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示例×："/>
    <w:basedOn w:val="42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二级无"/>
    <w:basedOn w:val="4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1">
    <w:name w:val="注：（正文）"/>
    <w:basedOn w:val="54"/>
    <w:next w:val="22"/>
    <w:qFormat/>
    <w:uiPriority w:val="0"/>
    <w:pPr>
      <w:numPr>
        <w:ilvl w:val="0"/>
        <w:numId w:val="9"/>
      </w:numPr>
    </w:pPr>
  </w:style>
  <w:style w:type="paragraph" w:customStyle="1" w:styleId="62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4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5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书眉_偶数页"/>
    <w:basedOn w:val="41"/>
    <w:next w:val="1"/>
    <w:qFormat/>
    <w:uiPriority w:val="0"/>
    <w:pPr>
      <w:jc w:val="left"/>
    </w:pPr>
  </w:style>
  <w:style w:type="paragraph" w:customStyle="1" w:styleId="67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1">
    <w:name w:val="发布部门"/>
    <w:next w:val="2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2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3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5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6">
    <w:name w:val="封面标准英文名称"/>
    <w:basedOn w:val="75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7">
    <w:name w:val="封面一致性程度标识"/>
    <w:basedOn w:val="76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8">
    <w:name w:val="封面标准文稿类别"/>
    <w:basedOn w:val="77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9">
    <w:name w:val="封面标准文稿编辑信息"/>
    <w:basedOn w:val="78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8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1">
    <w:name w:val="附录标识"/>
    <w:basedOn w:val="1"/>
    <w:next w:val="22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附录表标号"/>
    <w:basedOn w:val="1"/>
    <w:next w:val="22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4">
    <w:name w:val="附录表标题"/>
    <w:basedOn w:val="1"/>
    <w:next w:val="22"/>
    <w:qFormat/>
    <w:uiPriority w:val="0"/>
    <w:pPr>
      <w:numPr>
        <w:ilvl w:val="1"/>
        <w:numId w:val="1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5">
    <w:name w:val="附录二级条标题"/>
    <w:basedOn w:val="1"/>
    <w:next w:val="22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附录二级无"/>
    <w:basedOn w:val="85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7">
    <w:name w:val="附录公式"/>
    <w:basedOn w:val="22"/>
    <w:next w:val="22"/>
    <w:link w:val="88"/>
    <w:qFormat/>
    <w:uiPriority w:val="0"/>
  </w:style>
  <w:style w:type="character" w:customStyle="1" w:styleId="88">
    <w:name w:val="附录公式 Char"/>
    <w:basedOn w:val="38"/>
    <w:link w:val="87"/>
    <w:qFormat/>
    <w:uiPriority w:val="0"/>
    <w:rPr>
      <w:rFonts w:ascii="宋体"/>
      <w:sz w:val="21"/>
      <w:lang w:val="en-US" w:eastAsia="zh-CN" w:bidi="ar-SA"/>
    </w:rPr>
  </w:style>
  <w:style w:type="paragraph" w:customStyle="1" w:styleId="89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0">
    <w:name w:val="附录三级条标题"/>
    <w:basedOn w:val="85"/>
    <w:next w:val="22"/>
    <w:qFormat/>
    <w:uiPriority w:val="0"/>
    <w:pPr>
      <w:numPr>
        <w:ilvl w:val="4"/>
      </w:numPr>
      <w:outlineLvl w:val="4"/>
    </w:pPr>
  </w:style>
  <w:style w:type="paragraph" w:customStyle="1" w:styleId="91">
    <w:name w:val="附录三级无"/>
    <w:basedOn w:val="90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2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附录四级条标题"/>
    <w:basedOn w:val="90"/>
    <w:next w:val="22"/>
    <w:qFormat/>
    <w:uiPriority w:val="0"/>
    <w:pPr>
      <w:numPr>
        <w:ilvl w:val="5"/>
      </w:numPr>
      <w:outlineLvl w:val="5"/>
    </w:pPr>
  </w:style>
  <w:style w:type="paragraph" w:customStyle="1" w:styleId="94">
    <w:name w:val="附录四级无"/>
    <w:basedOn w:val="93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5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6">
    <w:name w:val="附录图标题"/>
    <w:basedOn w:val="1"/>
    <w:next w:val="22"/>
    <w:qFormat/>
    <w:uiPriority w:val="0"/>
    <w:pPr>
      <w:numPr>
        <w:ilvl w:val="1"/>
        <w:numId w:val="14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附录五级条标题"/>
    <w:basedOn w:val="93"/>
    <w:next w:val="22"/>
    <w:qFormat/>
    <w:uiPriority w:val="0"/>
    <w:pPr>
      <w:numPr>
        <w:ilvl w:val="6"/>
      </w:numPr>
      <w:outlineLvl w:val="6"/>
    </w:pPr>
  </w:style>
  <w:style w:type="paragraph" w:customStyle="1" w:styleId="98">
    <w:name w:val="附录五级无"/>
    <w:basedOn w:val="97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9">
    <w:name w:val="附录章标题"/>
    <w:next w:val="22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0">
    <w:name w:val="附录一级条标题"/>
    <w:basedOn w:val="99"/>
    <w:next w:val="22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1">
    <w:name w:val="附录一级无"/>
    <w:basedOn w:val="100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2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其他标准标志"/>
    <w:basedOn w:val="63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8">
    <w:name w:val="其他发布部门"/>
    <w:basedOn w:val="71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09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三级无"/>
    <w:basedOn w:val="4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1">
    <w:name w:val="实施日期"/>
    <w:basedOn w:val="72"/>
    <w:qFormat/>
    <w:uiPriority w:val="0"/>
    <w:pPr>
      <w:framePr w:wrap="around" w:vAnchor="page" w:hAnchor="text"/>
      <w:jc w:val="right"/>
    </w:pPr>
  </w:style>
  <w:style w:type="paragraph" w:customStyle="1" w:styleId="112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3">
    <w:name w:val="首示例"/>
    <w:next w:val="22"/>
    <w:link w:val="114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4">
    <w:name w:val="首示例 Char"/>
    <w:link w:val="113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5">
    <w:name w:val="四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6">
    <w:name w:val="条文脚注"/>
    <w:basedOn w:val="23"/>
    <w:qFormat/>
    <w:uiPriority w:val="0"/>
    <w:pPr>
      <w:numPr>
        <w:numId w:val="0"/>
      </w:numPr>
      <w:jc w:val="both"/>
    </w:pPr>
  </w:style>
  <w:style w:type="paragraph" w:customStyle="1" w:styleId="117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8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19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1">
    <w:name w:val="五级无"/>
    <w:basedOn w:val="5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一级无"/>
    <w:basedOn w:val="3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正文表标题"/>
    <w:next w:val="22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125">
    <w:name w:val="正文图标题"/>
    <w:next w:val="22"/>
    <w:qFormat/>
    <w:uiPriority w:val="0"/>
    <w:pPr>
      <w:numPr>
        <w:ilvl w:val="0"/>
        <w:numId w:val="18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其他发布日期"/>
    <w:basedOn w:val="72"/>
    <w:qFormat/>
    <w:uiPriority w:val="0"/>
    <w:pPr>
      <w:framePr w:wrap="around" w:vAnchor="page" w:hAnchor="text" w:x="1419"/>
    </w:pPr>
  </w:style>
  <w:style w:type="paragraph" w:customStyle="1" w:styleId="128">
    <w:name w:val="其他实施日期"/>
    <w:basedOn w:val="111"/>
    <w:qFormat/>
    <w:uiPriority w:val="0"/>
    <w:pPr>
      <w:framePr w:wrap="around"/>
    </w:pPr>
  </w:style>
  <w:style w:type="paragraph" w:customStyle="1" w:styleId="129">
    <w:name w:val="封面标准名称2"/>
    <w:basedOn w:val="75"/>
    <w:qFormat/>
    <w:uiPriority w:val="0"/>
    <w:pPr>
      <w:framePr w:wrap="around" w:y="4469"/>
      <w:spacing w:before="630" w:beforeLines="630"/>
    </w:pPr>
  </w:style>
  <w:style w:type="paragraph" w:customStyle="1" w:styleId="130">
    <w:name w:val="封面标准英文名称2"/>
    <w:basedOn w:val="76"/>
    <w:qFormat/>
    <w:uiPriority w:val="0"/>
    <w:pPr>
      <w:framePr w:wrap="around" w:y="4469"/>
    </w:pPr>
  </w:style>
  <w:style w:type="paragraph" w:customStyle="1" w:styleId="131">
    <w:name w:val="封面一致性程度标识2"/>
    <w:basedOn w:val="77"/>
    <w:qFormat/>
    <w:uiPriority w:val="0"/>
    <w:pPr>
      <w:framePr w:wrap="around" w:y="4469"/>
    </w:pPr>
  </w:style>
  <w:style w:type="paragraph" w:customStyle="1" w:styleId="132">
    <w:name w:val="封面标准文稿类别2"/>
    <w:basedOn w:val="78"/>
    <w:qFormat/>
    <w:uiPriority w:val="0"/>
    <w:pPr>
      <w:framePr w:wrap="around" w:y="4469"/>
    </w:pPr>
  </w:style>
  <w:style w:type="paragraph" w:customStyle="1" w:styleId="133">
    <w:name w:val="封面标准文稿编辑信息2"/>
    <w:basedOn w:val="79"/>
    <w:qFormat/>
    <w:uiPriority w:val="0"/>
    <w:pPr>
      <w:framePr w:wrap="around" w:y="4469"/>
    </w:pPr>
  </w:style>
  <w:style w:type="character" w:customStyle="1" w:styleId="134">
    <w:name w:val="页眉 字符"/>
    <w:basedOn w:val="32"/>
    <w:link w:val="17"/>
    <w:qFormat/>
    <w:uiPriority w:val="99"/>
    <w:rPr>
      <w:kern w:val="2"/>
      <w:sz w:val="18"/>
      <w:szCs w:val="18"/>
    </w:rPr>
  </w:style>
  <w:style w:type="character" w:customStyle="1" w:styleId="135">
    <w:name w:val="页脚 字符"/>
    <w:basedOn w:val="32"/>
    <w:link w:val="16"/>
    <w:qFormat/>
    <w:uiPriority w:val="99"/>
    <w:rPr>
      <w:kern w:val="2"/>
      <w:sz w:val="18"/>
      <w:szCs w:val="18"/>
    </w:rPr>
  </w:style>
  <w:style w:type="character" w:customStyle="1" w:styleId="136">
    <w:name w:val="批注框文本 字符"/>
    <w:basedOn w:val="32"/>
    <w:link w:val="15"/>
    <w:semiHidden/>
    <w:qFormat/>
    <w:uiPriority w:val="0"/>
    <w:rPr>
      <w:kern w:val="2"/>
      <w:sz w:val="18"/>
      <w:szCs w:val="18"/>
    </w:rPr>
  </w:style>
  <w:style w:type="paragraph" w:customStyle="1" w:styleId="137">
    <w:name w:val="图表脚注"/>
    <w:next w:val="22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38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C79B4-BE59-4294-A0BC-934C0F1D7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9175</Words>
  <Characters>11441</Characters>
  <Lines>95</Lines>
  <Paragraphs>26</Paragraphs>
  <TotalTime>40</TotalTime>
  <ScaleCrop>false</ScaleCrop>
  <LinksUpToDate>false</LinksUpToDate>
  <CharactersWithSpaces>11806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2022-03-18T11:45:00Z</dcterms:created>
  <dc:creator>CNIS</dc:creator>
  <cp:lastModifiedBy>Toddy</cp:lastModifiedBy>
  <cp:lastPrinted>2022-01-18T10:15:00Z</cp:lastPrinted>
  <dcterms:modified xsi:type="dcterms:W3CDTF">2022-03-23T00:53:44Z</dcterms:modified>
  <dc:title>标准名称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F4CF73A0BCAE43B7AC3397208CCEE455</vt:lpwstr>
  </property>
</Properties>
</file>