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ascii="黑体" w:hAnsi="黑体" w:eastAsia="黑体" w:cs="Times New Roman"/>
          <w:bCs/>
          <w:sz w:val="44"/>
          <w:szCs w:val="44"/>
        </w:rPr>
        <w:t>团体标准</w:t>
      </w:r>
    </w:p>
    <w:p>
      <w:pPr>
        <w:spacing w:line="960" w:lineRule="auto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ascii="黑体" w:hAnsi="黑体" w:eastAsia="黑体" w:cs="Times New Roman"/>
          <w:bCs/>
          <w:sz w:val="48"/>
          <w:szCs w:val="48"/>
        </w:rPr>
        <w:t>《</w:t>
      </w:r>
      <w:r>
        <w:rPr>
          <w:rFonts w:hint="eastAsia" w:ascii="黑体" w:hAnsi="黑体" w:eastAsia="黑体" w:cs="Times New Roman"/>
          <w:bCs/>
          <w:sz w:val="48"/>
          <w:szCs w:val="48"/>
        </w:rPr>
        <w:t>电子烟中七种甜味剂使用规范</w:t>
      </w:r>
      <w:r>
        <w:rPr>
          <w:rFonts w:ascii="黑体" w:hAnsi="黑体" w:eastAsia="黑体" w:cs="Times New Roman"/>
          <w:bCs/>
          <w:sz w:val="48"/>
          <w:szCs w:val="48"/>
        </w:rPr>
        <w:t>》</w:t>
      </w:r>
    </w:p>
    <w:p>
      <w:pPr>
        <w:spacing w:line="960" w:lineRule="auto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（征求意见稿）</w:t>
      </w:r>
    </w:p>
    <w:p>
      <w:pPr>
        <w:spacing w:line="960" w:lineRule="auto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ascii="黑体" w:hAnsi="黑体" w:eastAsia="黑体" w:cs="Times New Roman"/>
          <w:bCs/>
          <w:sz w:val="48"/>
          <w:szCs w:val="48"/>
        </w:rPr>
        <w:t>编制说明</w:t>
      </w:r>
    </w:p>
    <w:p>
      <w:pPr>
        <w:spacing w:line="9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19" w:name="_GoBack"/>
      <w:bookmarkEnd w:id="19"/>
    </w:p>
    <w:p>
      <w:pPr>
        <w:spacing w:line="9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spacing w:line="9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spacing w:line="9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spacing w:line="960" w:lineRule="auto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黑体" w:hAnsi="黑体" w:eastAsia="黑体" w:cs="Times New Roman"/>
          <w:bCs/>
          <w:sz w:val="32"/>
          <w:szCs w:val="32"/>
        </w:rPr>
        <w:t>《</w:t>
      </w:r>
      <w:r>
        <w:rPr>
          <w:rFonts w:hint="eastAsia" w:ascii="黑体" w:hAnsi="黑体" w:eastAsia="黑体" w:cs="Times New Roman"/>
          <w:bCs/>
          <w:sz w:val="32"/>
          <w:szCs w:val="32"/>
        </w:rPr>
        <w:t>电子烟中七种甜味剂使用规范</w:t>
      </w:r>
      <w:r>
        <w:rPr>
          <w:rFonts w:ascii="黑体" w:hAnsi="黑体" w:eastAsia="黑体" w:cs="Times New Roman"/>
          <w:bCs/>
          <w:sz w:val="32"/>
          <w:szCs w:val="32"/>
        </w:rPr>
        <w:t>》</w:t>
      </w:r>
      <w:r>
        <w:rPr>
          <w:rFonts w:hint="eastAsia" w:ascii="黑体" w:hAnsi="黑体" w:eastAsia="黑体" w:cs="Times New Roman"/>
          <w:bCs/>
          <w:sz w:val="32"/>
          <w:szCs w:val="32"/>
        </w:rPr>
        <w:t>编制小组</w:t>
      </w:r>
    </w:p>
    <w:p>
      <w:pPr>
        <w:spacing w:line="9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2023年</w:t>
      </w:r>
      <w:r>
        <w:rPr>
          <w:rFonts w:hint="eastAsia"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5月</w:t>
      </w:r>
      <w:r>
        <w:rPr>
          <w:rFonts w:hint="eastAsia" w:ascii="Times New Roman" w:hAnsi="Times New Roman" w:cs="Times New Roman"/>
          <w:sz w:val="30"/>
          <w:szCs w:val="30"/>
        </w:rPr>
        <w:t>14</w:t>
      </w:r>
      <w:r>
        <w:rPr>
          <w:rFonts w:ascii="Times New Roman" w:hAnsi="Times New Roman" w:cs="Times New Roman"/>
          <w:sz w:val="30"/>
          <w:szCs w:val="30"/>
        </w:rPr>
        <w:t>日</w:t>
      </w:r>
    </w:p>
    <w:p>
      <w:pPr>
        <w:widowControl/>
        <w:jc w:val="left"/>
      </w:pPr>
      <w:r>
        <w:br w:type="page"/>
      </w:r>
    </w:p>
    <w:p>
      <w:pPr>
        <w:keepNext/>
        <w:pageBreakBefore/>
        <w:shd w:val="clear" w:color="FFFFFF" w:fill="FFFFFF"/>
        <w:spacing w:before="640" w:after="560"/>
        <w:jc w:val="center"/>
        <w:outlineLvl w:val="0"/>
        <w:rPr>
          <w:rFonts w:ascii="Times New Roman" w:hAnsi="Times New Roman" w:eastAsia="黑体" w:cs="Times New Roman"/>
          <w:sz w:val="32"/>
        </w:rPr>
      </w:pPr>
      <w:bookmarkStart w:id="0" w:name="_Toc118711959"/>
      <w:bookmarkStart w:id="1" w:name="_Toc71021963"/>
      <w:r>
        <w:rPr>
          <w:rFonts w:ascii="Times New Roman" w:hAnsi="Times New Roman" w:eastAsia="黑体" w:cs="Times New Roman"/>
          <w:sz w:val="32"/>
        </w:rPr>
        <w:t>目录</w:t>
      </w:r>
      <w:bookmarkEnd w:id="0"/>
      <w:bookmarkEnd w:id="1"/>
    </w:p>
    <w:p>
      <w:pPr>
        <w:pStyle w:val="4"/>
        <w:tabs>
          <w:tab w:val="right" w:leader="dot" w:pos="8296"/>
        </w:tabs>
        <w:rPr>
          <w:sz w:val="24"/>
        </w:rPr>
      </w:pPr>
      <w:r>
        <w:rPr>
          <w:rFonts w:ascii="宋体" w:hAnsi="宋体" w:eastAsia="宋体" w:cs="Times New Roman"/>
          <w:sz w:val="24"/>
        </w:rPr>
        <w:fldChar w:fldCharType="begin"/>
      </w:r>
      <w:r>
        <w:rPr>
          <w:rFonts w:ascii="宋体" w:hAnsi="宋体" w:eastAsia="宋体" w:cs="Times New Roman"/>
          <w:sz w:val="24"/>
        </w:rPr>
        <w:instrText xml:space="preserve"> TOC \o "1-2" \h \z \u  \* MERGEFORMAT </w:instrText>
      </w:r>
      <w:r>
        <w:rPr>
          <w:rFonts w:ascii="宋体" w:hAnsi="宋体" w:eastAsia="宋体" w:cs="Times New Roman"/>
          <w:sz w:val="24"/>
        </w:rPr>
        <w:fldChar w:fldCharType="separate"/>
      </w:r>
      <w:r>
        <w:fldChar w:fldCharType="begin"/>
      </w:r>
      <w:r>
        <w:instrText xml:space="preserve"> HYPERLINK \l "_Toc118711959" </w:instrText>
      </w:r>
      <w:r>
        <w:fldChar w:fldCharType="separate"/>
      </w:r>
      <w:r>
        <w:rPr>
          <w:rStyle w:val="7"/>
          <w:rFonts w:ascii="Times New Roman" w:hAnsi="Times New Roman" w:eastAsia="黑体" w:cs="Times New Roman"/>
          <w:sz w:val="24"/>
        </w:rPr>
        <w:t>目录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_Toc118711959 \h </w:instrText>
      </w:r>
      <w:r>
        <w:rPr>
          <w:sz w:val="24"/>
        </w:rPr>
        <w:fldChar w:fldCharType="separate"/>
      </w:r>
      <w:r>
        <w:rPr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"_Toc118711960"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一、工作情况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_Toc118711960 \h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"_Toc118711961"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二、标准编制原则、确定主要内容的依据和解决的主要问题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_Toc118711961 \h </w:instrText>
      </w:r>
      <w:r>
        <w:rPr>
          <w:sz w:val="24"/>
        </w:rPr>
        <w:fldChar w:fldCharType="separate"/>
      </w:r>
      <w:r>
        <w:rPr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"_Toc118711962"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三、采用国际标准和国内外先进标准的对比情况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_Toc118711962 \h </w:instrText>
      </w:r>
      <w:r>
        <w:rPr>
          <w:sz w:val="24"/>
        </w:rPr>
        <w:fldChar w:fldCharType="separate"/>
      </w:r>
      <w:r>
        <w:rPr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"_Toc118711963"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四、与有关的现行法律、法规和强制性国家标准的关系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_Toc118711963 \h </w:instrText>
      </w:r>
      <w:r>
        <w:rPr>
          <w:sz w:val="24"/>
        </w:rPr>
        <w:fldChar w:fldCharType="separate"/>
      </w:r>
      <w:r>
        <w:rPr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"_Toc118711964"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五、重大分歧意见的处理经过和依据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_Toc118711964 \h </w:instrText>
      </w:r>
      <w:r>
        <w:rPr>
          <w:sz w:val="24"/>
        </w:rPr>
        <w:fldChar w:fldCharType="separate"/>
      </w:r>
      <w:r>
        <w:rPr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"_Toc118711965"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六、宣传贯彻标准的要求和措施建议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_Toc118711965 \h </w:instrText>
      </w:r>
      <w:r>
        <w:rPr>
          <w:sz w:val="24"/>
        </w:rPr>
        <w:fldChar w:fldCharType="separate"/>
      </w:r>
      <w:r>
        <w:rPr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"_Toc118711966"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七、作为推荐性标准的建议及其理由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_Toc118711966 \h </w:instrText>
      </w:r>
      <w:r>
        <w:rPr>
          <w:sz w:val="24"/>
        </w:rPr>
        <w:fldChar w:fldCharType="separate"/>
      </w:r>
      <w:r>
        <w:rPr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4"/>
        <w:tabs>
          <w:tab w:val="right" w:leader="dot" w:pos="8296"/>
        </w:tabs>
        <w:rPr>
          <w:sz w:val="24"/>
        </w:rPr>
      </w:pPr>
      <w:r>
        <w:fldChar w:fldCharType="begin"/>
      </w:r>
      <w:r>
        <w:instrText xml:space="preserve"> HYPERLINK \l "_Toc118711967" </w:instrText>
      </w:r>
      <w:r>
        <w:fldChar w:fldCharType="separate"/>
      </w:r>
      <w:r>
        <w:rPr>
          <w:rStyle w:val="7"/>
          <w:rFonts w:ascii="黑体" w:hAnsi="黑体" w:eastAsia="黑体" w:cs="Times New Roman"/>
          <w:bCs/>
          <w:kern w:val="44"/>
          <w:sz w:val="24"/>
        </w:rPr>
        <w:t>八、其他应予以说明的事项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_Toc118711967 \h </w:instrText>
      </w:r>
      <w:r>
        <w:rPr>
          <w:sz w:val="24"/>
        </w:rPr>
        <w:fldChar w:fldCharType="separate"/>
      </w:r>
      <w:r>
        <w:rPr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widowControl/>
        <w:jc w:val="left"/>
        <w:rPr>
          <w:rFonts w:ascii="宋体" w:hAnsi="宋体" w:eastAsia="宋体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宋体" w:hAnsi="宋体" w:eastAsia="宋体" w:cs="Times New Roman"/>
          <w:sz w:val="24"/>
        </w:rPr>
        <w:fldChar w:fldCharType="end"/>
      </w:r>
    </w:p>
    <w:p>
      <w:pPr>
        <w:widowControl/>
        <w:jc w:val="center"/>
      </w:pPr>
      <w:r>
        <w:rPr>
          <w:rFonts w:ascii="黑体" w:hAnsi="黑体" w:eastAsia="黑体" w:cs="Times New Roman"/>
          <w:bCs/>
          <w:sz w:val="36"/>
          <w:szCs w:val="36"/>
        </w:rPr>
        <w:t>团体标准</w:t>
      </w:r>
    </w:p>
    <w:p>
      <w:pPr>
        <w:spacing w:line="960" w:lineRule="auto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《</w:t>
      </w:r>
      <w:r>
        <w:rPr>
          <w:rFonts w:hint="eastAsia" w:ascii="黑体" w:hAnsi="黑体" w:eastAsia="黑体" w:cs="Times New Roman"/>
          <w:bCs/>
          <w:sz w:val="32"/>
          <w:szCs w:val="32"/>
        </w:rPr>
        <w:t>七种甜味剂使用规范</w:t>
      </w:r>
      <w:r>
        <w:rPr>
          <w:rFonts w:ascii="黑体" w:hAnsi="黑体" w:eastAsia="黑体" w:cs="Times New Roman"/>
          <w:bCs/>
          <w:sz w:val="32"/>
          <w:szCs w:val="32"/>
        </w:rPr>
        <w:t>》</w:t>
      </w:r>
      <w:r>
        <w:rPr>
          <w:rFonts w:hint="eastAsia" w:ascii="黑体" w:hAnsi="黑体" w:eastAsia="黑体" w:cs="Times New Roman"/>
          <w:bCs/>
          <w:sz w:val="32"/>
          <w:szCs w:val="32"/>
        </w:rPr>
        <w:t>（征求意见稿）</w:t>
      </w:r>
      <w:r>
        <w:rPr>
          <w:rFonts w:ascii="黑体" w:hAnsi="黑体" w:eastAsia="黑体" w:cs="Times New Roman"/>
          <w:bCs/>
          <w:sz w:val="32"/>
          <w:szCs w:val="32"/>
        </w:rPr>
        <w:t>编制说明</w:t>
      </w:r>
    </w:p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bookmarkStart w:id="2" w:name="_Toc71021964"/>
      <w:bookmarkStart w:id="3" w:name="_Toc118711960"/>
      <w:r>
        <w:rPr>
          <w:rFonts w:ascii="黑体" w:hAnsi="黑体" w:eastAsia="黑体" w:cs="Times New Roman"/>
          <w:bCs/>
          <w:kern w:val="44"/>
          <w:sz w:val="32"/>
          <w:szCs w:val="32"/>
        </w:rPr>
        <w:t>一</w:t>
      </w:r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、</w:t>
      </w:r>
      <w:r>
        <w:rPr>
          <w:rFonts w:ascii="黑体" w:hAnsi="黑体" w:eastAsia="黑体" w:cs="Times New Roman"/>
          <w:bCs/>
          <w:kern w:val="44"/>
          <w:sz w:val="32"/>
          <w:szCs w:val="32"/>
        </w:rPr>
        <w:t>工作情况</w:t>
      </w:r>
      <w:bookmarkEnd w:id="2"/>
      <w:bookmarkEnd w:id="3"/>
    </w:p>
    <w:p>
      <w:pPr>
        <w:keepNext/>
        <w:keepLines/>
        <w:spacing w:before="260" w:after="260" w:line="416" w:lineRule="auto"/>
        <w:outlineLvl w:val="2"/>
        <w:rPr>
          <w:rFonts w:ascii="黑体" w:hAnsi="黑体" w:eastAsia="黑体" w:cs="Times New Roman"/>
          <w:bCs/>
          <w:sz w:val="24"/>
        </w:rPr>
      </w:pPr>
      <w:r>
        <w:rPr>
          <w:rFonts w:hint="eastAsia" w:ascii="黑体" w:hAnsi="黑体" w:eastAsia="黑体" w:cs="Times New Roman"/>
          <w:bCs/>
          <w:sz w:val="24"/>
        </w:rPr>
        <w:t>（一）、</w:t>
      </w:r>
      <w:r>
        <w:rPr>
          <w:rFonts w:ascii="黑体" w:hAnsi="黑体" w:eastAsia="黑体" w:cs="Times New Roman"/>
          <w:bCs/>
          <w:sz w:val="24"/>
        </w:rPr>
        <w:t>任务来源</w:t>
      </w:r>
    </w:p>
    <w:p>
      <w:pPr>
        <w:widowControl/>
        <w:spacing w:before="156" w:beforeLines="50" w:after="156" w:afterLines="50" w:line="4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2022</w:t>
      </w:r>
      <w:r>
        <w:rPr>
          <w:rFonts w:hint="eastAsia" w:ascii="Times New Roman" w:hAnsi="Times New Roman" w:eastAsia="宋体" w:cs="Times New Roman"/>
          <w:sz w:val="24"/>
        </w:rPr>
        <w:t>年</w:t>
      </w:r>
      <w:r>
        <w:rPr>
          <w:rFonts w:ascii="Times New Roman" w:hAnsi="Times New Roman" w:eastAsia="宋体" w:cs="Times New Roman"/>
          <w:sz w:val="24"/>
        </w:rPr>
        <w:t>4月12日， 国家市场监督管理总局、国家标准化管理委员会批准发布《电子烟》强制性国家标准，电子烟国标列出了雾化物添加剂“白名单”，共含101 种不同的化合物，但是作为风味调节的甜味剂受到很大限制</w:t>
      </w:r>
      <w:r>
        <w:rPr>
          <w:rFonts w:hint="eastAsia" w:ascii="Times New Roman" w:hAnsi="Times New Roman" w:eastAsia="宋体" w:cs="Times New Roman"/>
          <w:sz w:val="24"/>
        </w:rPr>
        <w:t>。2</w:t>
      </w:r>
      <w:r>
        <w:rPr>
          <w:rFonts w:ascii="Times New Roman" w:hAnsi="Times New Roman" w:eastAsia="宋体" w:cs="Times New Roman"/>
          <w:sz w:val="24"/>
        </w:rPr>
        <w:t>022</w:t>
      </w:r>
      <w:r>
        <w:rPr>
          <w:rFonts w:hint="eastAsia" w:ascii="Times New Roman" w:hAnsi="Times New Roman" w:eastAsia="宋体" w:cs="Times New Roman"/>
          <w:sz w:val="24"/>
        </w:rPr>
        <w:t>年</w:t>
      </w:r>
      <w:r>
        <w:rPr>
          <w:rFonts w:ascii="Times New Roman" w:hAnsi="Times New Roman" w:eastAsia="宋体" w:cs="Times New Roman"/>
          <w:sz w:val="24"/>
        </w:rPr>
        <w:t>7</w:t>
      </w:r>
      <w:r>
        <w:rPr>
          <w:rFonts w:hint="eastAsia" w:ascii="Times New Roman" w:hAnsi="Times New Roman" w:eastAsia="宋体" w:cs="Times New Roman"/>
          <w:sz w:val="24"/>
        </w:rPr>
        <w:t>月，经深圳市分析检测协会的专家组评议通过立项。由深圳市波顿芳香技术研究院（以下简称：深香院）组织编写。</w:t>
      </w:r>
    </w:p>
    <w:p>
      <w:pPr>
        <w:keepNext/>
        <w:keepLines/>
        <w:spacing w:before="260" w:after="260" w:line="416" w:lineRule="auto"/>
        <w:outlineLvl w:val="2"/>
        <w:rPr>
          <w:rFonts w:ascii="黑体" w:hAnsi="黑体" w:eastAsia="黑体" w:cs="Times New Roman"/>
          <w:bCs/>
          <w:sz w:val="24"/>
        </w:rPr>
      </w:pPr>
      <w:r>
        <w:rPr>
          <w:rFonts w:hint="eastAsia" w:ascii="黑体" w:hAnsi="黑体" w:eastAsia="黑体" w:cs="Times New Roman"/>
          <w:bCs/>
          <w:sz w:val="24"/>
        </w:rPr>
        <w:t>（二）、</w:t>
      </w:r>
      <w:r>
        <w:rPr>
          <w:rFonts w:ascii="黑体" w:hAnsi="黑体" w:eastAsia="黑体" w:cs="Times New Roman"/>
          <w:bCs/>
          <w:sz w:val="24"/>
        </w:rPr>
        <w:t>主要工作过程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</w:rPr>
      </w:pPr>
      <w:r>
        <w:rPr>
          <w:rFonts w:ascii="宋体" w:hAnsi="宋体" w:eastAsia="宋体" w:cs="Times New Roman"/>
          <w:sz w:val="24"/>
        </w:rPr>
        <w:t>纵观国际市场，各国陆续出台相关监管要求，国际市场管理更趋规范，修订标准将更加贴近且符合国际市场要求，有助于企业提升国际竞争力。委员会一直以来特别重视未成年人保护工作，标准修订将更加注重产品标识及宣传，规范用语，显著提升未成年人保护能力，为保障消费者权益，产品检测认证提供有力支撑</w:t>
      </w:r>
      <w:r>
        <w:rPr>
          <w:rFonts w:ascii="仿宋" w:hAnsi="仿宋" w:eastAsia="仿宋" w:cs="仿宋"/>
          <w:color w:val="333333"/>
          <w:spacing w:val="8"/>
          <w:sz w:val="26"/>
          <w:szCs w:val="26"/>
          <w:shd w:val="clear" w:color="auto" w:fill="FFFFFF"/>
        </w:rPr>
        <w:t>。</w:t>
      </w:r>
    </w:p>
    <w:p>
      <w:pPr>
        <w:widowControl/>
        <w:numPr>
          <w:ilvl w:val="0"/>
          <w:numId w:val="1"/>
        </w:numPr>
        <w:spacing w:before="156" w:beforeLines="50" w:after="156" w:afterLines="5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预研准备</w:t>
      </w:r>
    </w:p>
    <w:p>
      <w:pPr>
        <w:spacing w:line="360" w:lineRule="auto"/>
        <w:ind w:firstLine="324" w:firstLineChars="135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充分搜集国内外相应的标准、技术法规以及发展趋势等资料，经过分析研究后，确定标准名称以及，明确标准的编制目的、范围和内容框架。</w:t>
      </w:r>
    </w:p>
    <w:p>
      <w:pPr>
        <w:widowControl/>
        <w:numPr>
          <w:ilvl w:val="0"/>
          <w:numId w:val="1"/>
        </w:numPr>
        <w:spacing w:before="156" w:beforeLines="50" w:after="156" w:afterLines="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成立标准起草工作</w:t>
      </w:r>
      <w:r>
        <w:rPr>
          <w:rFonts w:hint="eastAsia" w:ascii="Times New Roman" w:hAnsi="Times New Roman" w:eastAsia="宋体" w:cs="Times New Roman"/>
          <w:sz w:val="24"/>
        </w:rPr>
        <w:t>组</w:t>
      </w:r>
    </w:p>
    <w:p>
      <w:pPr>
        <w:spacing w:line="360" w:lineRule="auto"/>
        <w:ind w:firstLine="324" w:firstLineChars="135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深圳市波顿芳香技术研究院（以下简称：深香院）</w:t>
      </w:r>
      <w:r>
        <w:rPr>
          <w:rFonts w:ascii="宋体" w:hAnsi="宋体" w:eastAsia="宋体" w:cs="Times New Roman"/>
          <w:sz w:val="24"/>
        </w:rPr>
        <w:t>组织相关单位成立标准起草工作组。</w:t>
      </w:r>
    </w:p>
    <w:p>
      <w:pPr>
        <w:widowControl/>
        <w:numPr>
          <w:ilvl w:val="0"/>
          <w:numId w:val="1"/>
        </w:numPr>
        <w:spacing w:before="156" w:beforeLines="50" w:after="156" w:afterLines="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文献资料</w:t>
      </w:r>
      <w:r>
        <w:rPr>
          <w:rFonts w:hint="eastAsia" w:ascii="Times New Roman" w:hAnsi="Times New Roman" w:eastAsia="宋体" w:cs="Times New Roman"/>
          <w:sz w:val="24"/>
        </w:rPr>
        <w:t>查阅汇总及企业调研沟通——形成内部讨论稿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同各国网络和科技检索平台，查阅相关科技文献资料，收集目前国内外关于电子烟、电子雾化液的定义、要求、试验方法、抽样规则、标签、标识、包装、说明书、运输、贮存等有关资料和标准。同时，标准起草工作组根据与同行业生产者的技术交流、客户的使用需求反馈以及多年的数据积累等信息，整理形成</w:t>
      </w:r>
      <w:r>
        <w:rPr>
          <w:rFonts w:hint="eastAsia" w:ascii="Times New Roman" w:hAnsi="Times New Roman" w:eastAsia="宋体" w:cs="Times New Roman"/>
          <w:sz w:val="24"/>
        </w:rPr>
        <w:t>标准的内部讨论稿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widowControl/>
        <w:numPr>
          <w:ilvl w:val="0"/>
          <w:numId w:val="1"/>
        </w:numPr>
        <w:spacing w:before="156" w:beforeLines="50" w:after="156" w:afterLines="5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多次讨论验证——</w:t>
      </w:r>
      <w:r>
        <w:rPr>
          <w:rFonts w:ascii="Times New Roman" w:hAnsi="Times New Roman" w:eastAsia="宋体" w:cs="Times New Roman"/>
          <w:sz w:val="24"/>
        </w:rPr>
        <w:t>形成标准</w:t>
      </w:r>
      <w:r>
        <w:rPr>
          <w:rFonts w:hint="eastAsia" w:ascii="Times New Roman" w:hAnsi="Times New Roman" w:eastAsia="宋体" w:cs="Times New Roman"/>
          <w:sz w:val="24"/>
        </w:rPr>
        <w:t>草案</w:t>
      </w:r>
      <w:r>
        <w:rPr>
          <w:rFonts w:ascii="Times New Roman" w:hAnsi="Times New Roman" w:eastAsia="宋体" w:cs="Times New Roman"/>
          <w:sz w:val="24"/>
        </w:rPr>
        <w:t>稿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牵头主笔单位深检院采用多种方式与编制组成员建立良好沟通形式，并有针对性的实施了标准的验证工作，在此基础上行成了标准草案稿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widowControl/>
        <w:numPr>
          <w:ilvl w:val="0"/>
          <w:numId w:val="1"/>
        </w:numPr>
        <w:spacing w:before="156" w:beforeLines="50" w:after="156" w:afterLines="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技术参数验证测试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参加验证的机构包含：电子雾化液生产企业、电子雾化器生产企业、电子烟生产商，第三方检测机构等十一家，参与了项目的验证工作。同时，主笔单位——深检院，也充分发挥自从企业采集部分样品进行了一些辅助指标的验证工作，这些验证结果均对标准技术指标的确定提供了有力支撑。</w:t>
      </w:r>
    </w:p>
    <w:p>
      <w:pPr>
        <w:widowControl/>
        <w:numPr>
          <w:ilvl w:val="0"/>
          <w:numId w:val="1"/>
        </w:numPr>
        <w:spacing w:before="156" w:beforeLines="50" w:after="156" w:afterLines="5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协会组织讨论——形成标准征求意见稿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行业协会组织多次会议，对编制小组的提供的《电子烟中七种甜味剂技术规范》草案稿进行集体论证，听取编制小组的解释和说明，在此基础上形成《电子烟中七种甜味剂技术规范》的标准征求意见稿。</w:t>
      </w:r>
    </w:p>
    <w:p>
      <w:pPr>
        <w:keepNext/>
        <w:keepLines/>
        <w:spacing w:before="260" w:after="260" w:line="416" w:lineRule="auto"/>
        <w:outlineLvl w:val="2"/>
        <w:rPr>
          <w:rFonts w:ascii="黑体" w:hAnsi="黑体" w:eastAsia="黑体" w:cs="Times New Roman"/>
          <w:bCs/>
          <w:sz w:val="24"/>
        </w:rPr>
      </w:pPr>
      <w:r>
        <w:rPr>
          <w:rFonts w:hint="eastAsia" w:ascii="黑体" w:hAnsi="黑体" w:eastAsia="黑体" w:cs="Times New Roman"/>
          <w:bCs/>
          <w:sz w:val="24"/>
        </w:rPr>
        <w:t>（三）、</w:t>
      </w:r>
      <w:r>
        <w:rPr>
          <w:rFonts w:ascii="黑体" w:hAnsi="黑体" w:eastAsia="黑体" w:cs="Times New Roman"/>
          <w:bCs/>
          <w:sz w:val="24"/>
        </w:rPr>
        <w:t>主要起草、协作单位及承担的工作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《电子烟中七种甜味剂技术规范》</w:t>
      </w:r>
      <w:r>
        <w:rPr>
          <w:rFonts w:ascii="Times New Roman" w:hAnsi="Times New Roman" w:eastAsia="宋体" w:cs="Times New Roman"/>
          <w:sz w:val="24"/>
        </w:rPr>
        <w:t>起草单位：</w:t>
      </w:r>
      <w:r>
        <w:rPr>
          <w:rFonts w:hint="eastAsia" w:ascii="Times New Roman" w:hAnsi="Times New Roman" w:eastAsia="宋体" w:cs="Times New Roman"/>
          <w:sz w:val="24"/>
        </w:rPr>
        <w:t>深圳市波顿芳香技术研究院；深圳波顿香料有限公司；深圳市计量质量检测研究院；深圳神州经纬技术服务有限公司；安徽金禾实业股份有限公司；深圳市卓力能技术有限公司；深圳中科欣扬生物科技有限公司；中香香料(深圳)有限公司</w:t>
      </w:r>
      <w:bookmarkStart w:id="4" w:name="_Toc71021965"/>
      <w:bookmarkStart w:id="5" w:name="_Toc118711961"/>
      <w:r>
        <w:rPr>
          <w:rFonts w:hint="eastAsia" w:ascii="Times New Roman" w:hAnsi="Times New Roman" w:eastAsia="宋体" w:cs="Times New Roman"/>
          <w:sz w:val="24"/>
        </w:rPr>
        <w:t>。起草人负责标准制定工作的组织、协调，相关资料的查阅、收集，标准文本及编制说明的起草、撰写，组织召开座谈会，通过电子邮件、微信群等方式，征集、整理和归纳相关的意见和建议。</w:t>
      </w:r>
    </w:p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r>
        <w:rPr>
          <w:rFonts w:ascii="黑体" w:hAnsi="黑体" w:eastAsia="黑体" w:cs="Times New Roman"/>
          <w:bCs/>
          <w:kern w:val="44"/>
          <w:sz w:val="32"/>
          <w:szCs w:val="32"/>
        </w:rPr>
        <w:t>二</w:t>
      </w:r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、</w:t>
      </w:r>
      <w:r>
        <w:rPr>
          <w:rFonts w:ascii="黑体" w:hAnsi="黑体" w:eastAsia="黑体" w:cs="Times New Roman"/>
          <w:bCs/>
          <w:kern w:val="44"/>
          <w:sz w:val="32"/>
          <w:szCs w:val="32"/>
        </w:rPr>
        <w:t>标准编制原则、确定主要内容的依据和解决的主要问题</w:t>
      </w:r>
      <w:bookmarkEnd w:id="4"/>
      <w:bookmarkEnd w:id="5"/>
    </w:p>
    <w:p>
      <w:pPr>
        <w:keepNext/>
        <w:keepLines/>
        <w:spacing w:before="260" w:after="260" w:line="416" w:lineRule="auto"/>
        <w:outlineLvl w:val="2"/>
        <w:rPr>
          <w:rFonts w:ascii="黑体" w:hAnsi="黑体" w:eastAsia="黑体" w:cs="Times New Roman"/>
          <w:bCs/>
          <w:sz w:val="24"/>
        </w:rPr>
      </w:pPr>
      <w:r>
        <w:rPr>
          <w:rFonts w:hint="eastAsia" w:ascii="黑体" w:hAnsi="黑体" w:eastAsia="黑体" w:cs="Times New Roman"/>
          <w:bCs/>
          <w:sz w:val="24"/>
        </w:rPr>
        <w:t>（一）</w:t>
      </w:r>
      <w:r>
        <w:rPr>
          <w:rFonts w:ascii="黑体" w:hAnsi="黑体" w:eastAsia="黑体" w:cs="Times New Roman"/>
          <w:bCs/>
          <w:sz w:val="24"/>
        </w:rPr>
        <w:t>编制原则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本标准按照GB/T 1.1-2020《标准化工作导则第1部分：标准化文件的结构和起草规则》的要求进行编写，并遵循理论联系实际原则。</w:t>
      </w:r>
      <w:r>
        <w:rPr>
          <w:rFonts w:hint="eastAsia" w:ascii="Times New Roman" w:hAnsi="Times New Roman" w:eastAsia="宋体" w:cs="Times New Roman"/>
          <w:sz w:val="24"/>
        </w:rPr>
        <w:t>同时密切关注</w:t>
      </w:r>
      <w:r>
        <w:rPr>
          <w:rFonts w:ascii="Times New Roman" w:hAnsi="Times New Roman" w:eastAsia="宋体" w:cs="Times New Roman"/>
          <w:sz w:val="24"/>
        </w:rPr>
        <w:t>与相关领域法律、法规和规章、国家与行业标准等的兼容性和协调一致，符合国家和行业的有关方针、政策。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本次团体标准编制遵循</w:t>
      </w:r>
      <w:r>
        <w:rPr>
          <w:rFonts w:ascii="Times New Roman" w:hAnsi="Times New Roman" w:eastAsia="宋体" w:cs="Times New Roman"/>
          <w:b/>
          <w:sz w:val="24"/>
        </w:rPr>
        <w:t>规范性、科学性、先进性、合理性</w:t>
      </w:r>
      <w:r>
        <w:rPr>
          <w:rFonts w:hint="eastAsia" w:ascii="Times New Roman" w:hAnsi="Times New Roman" w:eastAsia="宋体" w:cs="Times New Roman"/>
          <w:b/>
          <w:sz w:val="24"/>
        </w:rPr>
        <w:t>和</w:t>
      </w:r>
      <w:r>
        <w:rPr>
          <w:rFonts w:ascii="Times New Roman" w:hAnsi="Times New Roman" w:eastAsia="宋体" w:cs="Times New Roman"/>
          <w:b/>
          <w:sz w:val="24"/>
        </w:rPr>
        <w:t>可行性</w:t>
      </w:r>
      <w:r>
        <w:rPr>
          <w:rFonts w:hint="eastAsia" w:ascii="Times New Roman" w:hAnsi="Times New Roman" w:eastAsia="宋体" w:cs="Times New Roman"/>
          <w:b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运用</w:t>
      </w:r>
      <w:r>
        <w:rPr>
          <w:rFonts w:ascii="Times New Roman" w:hAnsi="Times New Roman" w:eastAsia="宋体" w:cs="Times New Roman"/>
          <w:b/>
          <w:sz w:val="24"/>
        </w:rPr>
        <w:t>统一、简化、协调、优化</w:t>
      </w:r>
      <w:r>
        <w:rPr>
          <w:rFonts w:ascii="Times New Roman" w:hAnsi="Times New Roman" w:eastAsia="宋体" w:cs="Times New Roman"/>
          <w:sz w:val="24"/>
        </w:rPr>
        <w:t>的原则</w:t>
      </w:r>
      <w:r>
        <w:rPr>
          <w:rFonts w:hint="eastAsia" w:ascii="Times New Roman" w:hAnsi="Times New Roman" w:eastAsia="宋体" w:cs="Times New Roman"/>
          <w:sz w:val="24"/>
        </w:rPr>
        <w:t>，充分吸纳最新的研究成果，结合新型产品的特点，引入风险评估概念和要求，探索建立风险评估系统，保障产品安全。本标准的编制建立在充分评估了产业实际发展水平，建立了一套让领先者能实现，追随的可以跟上，落后的淘汰的标准。充分发挥在电子烟行业的国际领先地位，比外国更了解产业链，更了解实际存在问题和痛点，以标准体系先进性，以标准体系科学性，以标准引领行业高质量发展。同时，兼具可操作性，保障监测成本，逐步推进。</w:t>
      </w:r>
    </w:p>
    <w:p>
      <w:pPr>
        <w:keepNext/>
        <w:keepLines/>
        <w:spacing w:before="260" w:after="260" w:line="416" w:lineRule="auto"/>
        <w:outlineLvl w:val="2"/>
        <w:rPr>
          <w:rFonts w:ascii="黑体" w:hAnsi="黑体" w:eastAsia="黑体" w:cs="Times New Roman"/>
          <w:bCs/>
          <w:sz w:val="24"/>
        </w:rPr>
      </w:pPr>
      <w:r>
        <w:rPr>
          <w:rFonts w:hint="eastAsia" w:ascii="黑体" w:hAnsi="黑体" w:eastAsia="黑体" w:cs="Times New Roman"/>
          <w:bCs/>
          <w:sz w:val="24"/>
        </w:rPr>
        <w:t>（二）、</w:t>
      </w:r>
      <w:r>
        <w:rPr>
          <w:rFonts w:ascii="黑体" w:hAnsi="黑体" w:eastAsia="黑体" w:cs="Times New Roman"/>
          <w:bCs/>
          <w:sz w:val="24"/>
        </w:rPr>
        <w:t>确定主要内容的依据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本次标准制定主要</w:t>
      </w:r>
      <w:r>
        <w:rPr>
          <w:rFonts w:hint="eastAsia" w:ascii="Times New Roman" w:hAnsi="Times New Roman" w:eastAsia="宋体" w:cs="Times New Roman"/>
          <w:sz w:val="24"/>
        </w:rPr>
        <w:t>以《电子烟管理办法》和</w:t>
      </w:r>
      <w:r>
        <w:rPr>
          <w:rFonts w:ascii="Times New Roman" w:hAnsi="Times New Roman" w:eastAsia="宋体" w:cs="Times New Roman"/>
          <w:sz w:val="24"/>
        </w:rPr>
        <w:t>《电子烟》</w:t>
      </w:r>
      <w:r>
        <w:rPr>
          <w:rFonts w:hint="eastAsia" w:ascii="Times New Roman" w:hAnsi="Times New Roman" w:eastAsia="宋体" w:cs="Times New Roman"/>
          <w:sz w:val="24"/>
        </w:rPr>
        <w:t>国家标准</w:t>
      </w:r>
      <w:r>
        <w:rPr>
          <w:rFonts w:ascii="Times New Roman" w:hAnsi="Times New Roman" w:eastAsia="宋体" w:cs="Times New Roman"/>
          <w:sz w:val="24"/>
        </w:rPr>
        <w:t>（GB 41700-2022）</w:t>
      </w:r>
      <w:r>
        <w:rPr>
          <w:rFonts w:hint="eastAsia" w:ascii="Times New Roman" w:hAnsi="Times New Roman" w:eastAsia="宋体" w:cs="Times New Roman"/>
          <w:sz w:val="24"/>
        </w:rPr>
        <w:t>为依据。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依据上述法律、法规和标准，推动落实《“健康中国2030”规划纲要》，</w:t>
      </w:r>
      <w:r>
        <w:rPr>
          <w:rFonts w:hint="eastAsia" w:ascii="Times New Roman" w:hAnsi="Times New Roman" w:eastAsia="宋体" w:cs="Times New Roman"/>
          <w:sz w:val="24"/>
        </w:rPr>
        <w:t>行业协商一致，对本标准进行提升，</w:t>
      </w:r>
      <w:r>
        <w:rPr>
          <w:rFonts w:ascii="Times New Roman" w:hAnsi="Times New Roman" w:eastAsia="宋体" w:cs="Times New Roman"/>
          <w:sz w:val="24"/>
        </w:rPr>
        <w:t>实现对电子烟行业的有效监管、促进产业升级和满足多元化需求。</w:t>
      </w:r>
    </w:p>
    <w:p>
      <w:pPr>
        <w:keepNext/>
        <w:keepLines/>
        <w:spacing w:before="260" w:after="260" w:line="416" w:lineRule="auto"/>
        <w:outlineLvl w:val="2"/>
        <w:rPr>
          <w:rFonts w:ascii="黑体" w:hAnsi="黑体" w:eastAsia="黑体" w:cs="Times New Roman"/>
          <w:bCs/>
          <w:sz w:val="24"/>
        </w:rPr>
      </w:pPr>
      <w:r>
        <w:rPr>
          <w:rFonts w:hint="eastAsia" w:ascii="黑体" w:hAnsi="黑体" w:eastAsia="黑体" w:cs="Times New Roman"/>
          <w:bCs/>
          <w:sz w:val="24"/>
        </w:rPr>
        <w:t>（三）、</w:t>
      </w:r>
      <w:r>
        <w:rPr>
          <w:rFonts w:ascii="黑体" w:hAnsi="黑体" w:eastAsia="黑体" w:cs="Times New Roman"/>
          <w:bCs/>
          <w:sz w:val="24"/>
        </w:rPr>
        <w:t>解决的主要问题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电子烟行业发展迅速，现有生产水平相应提升，消费者对产品品质有着更高要求。为改善产品的口感和风味，会不同程度的添加使用甜味剂，因此有必要对电子烟等甜味剂的质量进行全面评估。虽然我国国家标准GB 2760《食品添加剂使用标准》中对可用于食品加工的甜味剂，包括甜蜜素、安塞蜜、糖精钠、阿斯巴甜等的适用范围和添加限量都有明确规定。但为了更进一步适应行业实际情况，引导企业生产、提升品质需求，并实现对该类产品的监管和测定，因此亟需修订相关标准。团标的颁布及实施，将为保障消费者权益、产品检测及国标完善提供有力支撑，提高行业水平，为行业的下一步发展树立标杆形象。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bookmarkStart w:id="6" w:name="_Toc118711962"/>
      <w:bookmarkStart w:id="7" w:name="_Toc71021968"/>
      <w:bookmarkStart w:id="8" w:name="_Toc71021969"/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三、</w:t>
      </w:r>
      <w:r>
        <w:rPr>
          <w:rFonts w:ascii="黑体" w:hAnsi="黑体" w:eastAsia="黑体" w:cs="Times New Roman"/>
          <w:bCs/>
          <w:kern w:val="44"/>
          <w:sz w:val="32"/>
          <w:szCs w:val="32"/>
        </w:rPr>
        <w:t>采用国际标准和国内外先进标准的对比情况</w:t>
      </w:r>
      <w:bookmarkEnd w:id="6"/>
      <w:bookmarkEnd w:id="7"/>
    </w:p>
    <w:p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经过各国网络和科技检索平台，查阅相关科技文献资料，收集目前国内外关于电子烟有关资料和标准，全球各国针对电子烟产品的相关监管政策存在巨大差异，从“零限制”到“全禁止”，而这些都无法完全涵盖电子烟雾化物添加剂的使用，有待进一步完善。电子烟国标G</w:t>
      </w:r>
      <w:r>
        <w:rPr>
          <w:rFonts w:ascii="宋体" w:hAnsi="宋体" w:eastAsia="宋体" w:cs="Times New Roman"/>
          <w:sz w:val="24"/>
        </w:rPr>
        <w:t>B41700</w:t>
      </w:r>
      <w:r>
        <w:rPr>
          <w:rFonts w:hint="eastAsia" w:ascii="宋体" w:hAnsi="宋体" w:eastAsia="宋体" w:cs="Times New Roman"/>
          <w:sz w:val="24"/>
        </w:rPr>
        <w:t>中虽有提及关于甜味剂的测定（纽甜的测定，高效液相色谱法，Q</w:t>
      </w:r>
      <w:r>
        <w:rPr>
          <w:rFonts w:ascii="宋体" w:hAnsi="宋体" w:eastAsia="宋体" w:cs="Times New Roman"/>
          <w:sz w:val="24"/>
        </w:rPr>
        <w:t>/CTQTC136-2022</w:t>
      </w:r>
      <w:r>
        <w:rPr>
          <w:rFonts w:hint="eastAsia" w:ascii="宋体" w:hAnsi="宋体" w:eastAsia="宋体" w:cs="Times New Roman"/>
          <w:sz w:val="24"/>
        </w:rPr>
        <w:t>）是一种实验室方法，缺乏统一产品标准限制。而法国标准AFNOR XP D 90-300-1、AFNOR XP D 90-300-2及AFNOR XP D 90-300-3，英国标准PAS54115:2015，欧盟标准CEN/TS 17287:2019、PD CEN/TR 17236:2018，美国标准AEMSA standard version 2.3.2，《欧盟烟草指令》（Tobacco Products Directive 2014/40/EU）、The Tobacco and Related Products Regulatio</w:t>
      </w:r>
      <w:r>
        <w:rPr>
          <w:rFonts w:ascii="宋体" w:hAnsi="宋体" w:eastAsia="宋体" w:cs="Times New Roman"/>
          <w:sz w:val="24"/>
        </w:rPr>
        <w:t>ns</w:t>
      </w:r>
      <w:r>
        <w:rPr>
          <w:rFonts w:hint="eastAsia" w:ascii="宋体" w:hAnsi="宋体" w:eastAsia="宋体" w:cs="Times New Roman"/>
          <w:sz w:val="24"/>
        </w:rPr>
        <w:t>实行合规制，并未对具体成分有强行要求，对国内标准的参考标准有限。</w:t>
      </w:r>
    </w:p>
    <w:bookmarkEnd w:id="8"/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bookmarkStart w:id="9" w:name="_Toc71021970"/>
      <w:bookmarkStart w:id="10" w:name="_Toc118711963"/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四、</w:t>
      </w:r>
      <w:r>
        <w:rPr>
          <w:rFonts w:ascii="黑体" w:hAnsi="黑体" w:eastAsia="黑体" w:cs="Times New Roman"/>
          <w:bCs/>
          <w:kern w:val="44"/>
          <w:sz w:val="32"/>
          <w:szCs w:val="32"/>
        </w:rPr>
        <w:t>与有关的现行法律、法规和强制性国家标准的关系</w:t>
      </w:r>
      <w:bookmarkEnd w:id="9"/>
      <w:bookmarkEnd w:id="10"/>
    </w:p>
    <w:p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4"/>
        </w:rPr>
        <w:t>目前尚未有针对电子雾化液的强制性国家标准，</w:t>
      </w:r>
      <w:r>
        <w:rPr>
          <w:rFonts w:hint="eastAsia" w:ascii="宋体" w:hAnsi="宋体" w:eastAsia="宋体" w:cs="Times New Roman"/>
          <w:sz w:val="24"/>
        </w:rPr>
        <w:t>并及时关注到</w:t>
      </w:r>
      <w:r>
        <w:rPr>
          <w:rFonts w:hint="eastAsia" w:ascii="宋体" w:hAnsi="宋体" w:eastAsia="宋体" w:cs="Times New Roman"/>
          <w:color w:val="000000"/>
          <w:sz w:val="24"/>
          <w:shd w:val="clear" w:color="auto" w:fill="FFFFFF"/>
        </w:rPr>
        <w:t>工业和信息化部产业政策与法规司于</w:t>
      </w:r>
      <w:r>
        <w:rPr>
          <w:rFonts w:ascii="宋体" w:hAnsi="宋体" w:eastAsia="宋体" w:cs="Times New Roman"/>
          <w:color w:val="000000"/>
          <w:sz w:val="24"/>
          <w:shd w:val="clear" w:color="auto" w:fill="FFFFFF"/>
        </w:rPr>
        <w:t>2021年3月22日发布的</w:t>
      </w:r>
      <w:r>
        <w:rPr>
          <w:rFonts w:ascii="宋体" w:hAnsi="宋体" w:eastAsia="宋体" w:cs="Times New Roman"/>
          <w:sz w:val="24"/>
        </w:rPr>
        <w:t>《关于修改&lt;中华人民共和国烟草专卖法实施条例&gt;的决定（征求意见稿）》</w:t>
      </w:r>
      <w:r>
        <w:rPr>
          <w:rFonts w:hint="eastAsia" w:ascii="宋体" w:hAnsi="宋体" w:eastAsia="宋体" w:cs="Times New Roman"/>
          <w:sz w:val="24"/>
        </w:rPr>
        <w:t>、国家卫生健康委于2021年5月28日发布的《中国吸烟危害健康报告2020》，</w:t>
      </w:r>
      <w:r>
        <w:rPr>
          <w:rFonts w:ascii="宋体" w:hAnsi="宋体" w:eastAsia="宋体" w:cs="Times New Roman"/>
          <w:sz w:val="24"/>
        </w:rPr>
        <w:t>本标准依据烟草行业的现行法律、法规进行制修订，与现行的相关法律、法规协调一致。</w:t>
      </w:r>
    </w:p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bookmarkStart w:id="11" w:name="_Toc71021971"/>
      <w:bookmarkStart w:id="12" w:name="_Toc118711964"/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五、</w:t>
      </w:r>
      <w:r>
        <w:rPr>
          <w:rFonts w:ascii="黑体" w:hAnsi="黑体" w:eastAsia="黑体" w:cs="Times New Roman"/>
          <w:bCs/>
          <w:kern w:val="44"/>
          <w:sz w:val="32"/>
          <w:szCs w:val="32"/>
        </w:rPr>
        <w:t>重大分歧意见的处理经过和依据</w:t>
      </w:r>
      <w:bookmarkEnd w:id="11"/>
      <w:bookmarkEnd w:id="12"/>
    </w:p>
    <w:p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无重大意见分歧</w:t>
      </w:r>
    </w:p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bookmarkStart w:id="13" w:name="_Toc118711965"/>
      <w:bookmarkStart w:id="14" w:name="_Toc71021972"/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六、</w:t>
      </w:r>
      <w:r>
        <w:rPr>
          <w:rFonts w:ascii="黑体" w:hAnsi="黑体" w:eastAsia="黑体" w:cs="Times New Roman"/>
          <w:bCs/>
          <w:kern w:val="44"/>
          <w:sz w:val="32"/>
          <w:szCs w:val="32"/>
        </w:rPr>
        <w:t>宣传贯彻标准的要求和措施建议</w:t>
      </w:r>
      <w:bookmarkEnd w:id="13"/>
      <w:bookmarkEnd w:id="14"/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bookmarkStart w:id="15" w:name="_Toc71021973"/>
      <w:r>
        <w:rPr>
          <w:rFonts w:ascii="Times New Roman" w:hAnsi="Times New Roman" w:eastAsia="宋体" w:cs="Times New Roman"/>
          <w:sz w:val="24"/>
        </w:rPr>
        <w:t>1、本规范作为指导生产、供货及市场监督的检验依据，一旦实施就具有一定的法律效力，因此应加强对该标准执行情况的检查与监督，并加强标准的宣贯与推广工作，定期展开对该标准执行情况的调研，跟踪国内外同类标准的动向，必要时及时提出修订建议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2、本标准为电子烟行业团体标准，在电子烟行业内应加强宣传和推广，积极组织相关企业进行学习和深刻贯彻落实，引导电子烟企业在进行电子雾化液生产、销售是将本标准作为技术性参考和依据。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3、加强行业间检验方法的比对验证，促进行业的整体分析技术水平提升，有利于测试结果之间对比分析。</w:t>
      </w:r>
    </w:p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bookmarkStart w:id="16" w:name="_Toc118711966"/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七、</w:t>
      </w:r>
      <w:bookmarkEnd w:id="15"/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作为推荐性标准的建议及其理由</w:t>
      </w:r>
      <w:bookmarkEnd w:id="16"/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建议本标准为推荐性标准。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理由：该起草标准编制是建立在前期研究基础上，有可靠的研究基础。编制过程中借鉴和参考目前已有的相关标准，结合已有研究结果，具有一定可行性。</w:t>
      </w:r>
    </w:p>
    <w:p>
      <w:pPr>
        <w:keepNext/>
        <w:keepLines/>
        <w:spacing w:before="340" w:after="330" w:line="578" w:lineRule="auto"/>
        <w:outlineLvl w:val="0"/>
        <w:rPr>
          <w:rFonts w:ascii="黑体" w:hAnsi="黑体" w:eastAsia="黑体" w:cs="Times New Roman"/>
          <w:bCs/>
          <w:kern w:val="44"/>
          <w:sz w:val="32"/>
          <w:szCs w:val="32"/>
        </w:rPr>
      </w:pPr>
      <w:bookmarkStart w:id="17" w:name="_Toc71021974"/>
      <w:bookmarkStart w:id="18" w:name="_Toc118711967"/>
      <w:r>
        <w:rPr>
          <w:rFonts w:hint="eastAsia" w:ascii="黑体" w:hAnsi="黑体" w:eastAsia="黑体" w:cs="Times New Roman"/>
          <w:bCs/>
          <w:kern w:val="44"/>
          <w:sz w:val="32"/>
          <w:szCs w:val="32"/>
        </w:rPr>
        <w:t>八、其他应予以说明的事项</w:t>
      </w:r>
      <w:bookmarkEnd w:id="17"/>
      <w:bookmarkEnd w:id="18"/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无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675122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238F8"/>
    <w:multiLevelType w:val="singleLevel"/>
    <w:tmpl w:val="5A0238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BD"/>
    <w:rsid w:val="00012305"/>
    <w:rsid w:val="0001233F"/>
    <w:rsid w:val="00013300"/>
    <w:rsid w:val="000663C0"/>
    <w:rsid w:val="000D2FBD"/>
    <w:rsid w:val="000D3425"/>
    <w:rsid w:val="000F04C1"/>
    <w:rsid w:val="000F68D7"/>
    <w:rsid w:val="000F74AC"/>
    <w:rsid w:val="00104521"/>
    <w:rsid w:val="001215EB"/>
    <w:rsid w:val="00153E2C"/>
    <w:rsid w:val="00157270"/>
    <w:rsid w:val="00173699"/>
    <w:rsid w:val="001A483B"/>
    <w:rsid w:val="001C3C1F"/>
    <w:rsid w:val="001C40F8"/>
    <w:rsid w:val="001D0E9D"/>
    <w:rsid w:val="00216FDF"/>
    <w:rsid w:val="002309F8"/>
    <w:rsid w:val="00242A1F"/>
    <w:rsid w:val="00265E3F"/>
    <w:rsid w:val="00266B52"/>
    <w:rsid w:val="002823E3"/>
    <w:rsid w:val="002870AE"/>
    <w:rsid w:val="00296623"/>
    <w:rsid w:val="002E665B"/>
    <w:rsid w:val="002F110D"/>
    <w:rsid w:val="00347398"/>
    <w:rsid w:val="00364AAB"/>
    <w:rsid w:val="00385BA2"/>
    <w:rsid w:val="0038715D"/>
    <w:rsid w:val="003946C8"/>
    <w:rsid w:val="003A3627"/>
    <w:rsid w:val="003D20A8"/>
    <w:rsid w:val="003D5399"/>
    <w:rsid w:val="003E0633"/>
    <w:rsid w:val="003E0D3A"/>
    <w:rsid w:val="004070A0"/>
    <w:rsid w:val="00423BA4"/>
    <w:rsid w:val="0042635E"/>
    <w:rsid w:val="0043027A"/>
    <w:rsid w:val="0043556E"/>
    <w:rsid w:val="004634B6"/>
    <w:rsid w:val="00477298"/>
    <w:rsid w:val="0048056B"/>
    <w:rsid w:val="00484855"/>
    <w:rsid w:val="00487B01"/>
    <w:rsid w:val="004A269C"/>
    <w:rsid w:val="004B7EAA"/>
    <w:rsid w:val="004E003C"/>
    <w:rsid w:val="00525178"/>
    <w:rsid w:val="00545869"/>
    <w:rsid w:val="00560F0C"/>
    <w:rsid w:val="005642AD"/>
    <w:rsid w:val="00567F5B"/>
    <w:rsid w:val="0059095F"/>
    <w:rsid w:val="005F1203"/>
    <w:rsid w:val="005F2BCA"/>
    <w:rsid w:val="00600B85"/>
    <w:rsid w:val="00600DBA"/>
    <w:rsid w:val="006069CE"/>
    <w:rsid w:val="00624CF0"/>
    <w:rsid w:val="00643D10"/>
    <w:rsid w:val="00652820"/>
    <w:rsid w:val="00665C52"/>
    <w:rsid w:val="006854E0"/>
    <w:rsid w:val="006A5862"/>
    <w:rsid w:val="006B5E27"/>
    <w:rsid w:val="006F3F29"/>
    <w:rsid w:val="007127C6"/>
    <w:rsid w:val="007132DB"/>
    <w:rsid w:val="00720CEE"/>
    <w:rsid w:val="007216A3"/>
    <w:rsid w:val="00733E0D"/>
    <w:rsid w:val="00742028"/>
    <w:rsid w:val="007765E5"/>
    <w:rsid w:val="00792898"/>
    <w:rsid w:val="007D0E1A"/>
    <w:rsid w:val="007D165B"/>
    <w:rsid w:val="008012C0"/>
    <w:rsid w:val="00803C2B"/>
    <w:rsid w:val="008064BC"/>
    <w:rsid w:val="00817F8A"/>
    <w:rsid w:val="00826020"/>
    <w:rsid w:val="00830F4E"/>
    <w:rsid w:val="00885921"/>
    <w:rsid w:val="00890F37"/>
    <w:rsid w:val="008E4F95"/>
    <w:rsid w:val="00916A18"/>
    <w:rsid w:val="0093469F"/>
    <w:rsid w:val="00997CA9"/>
    <w:rsid w:val="009A0736"/>
    <w:rsid w:val="009B3635"/>
    <w:rsid w:val="009C2662"/>
    <w:rsid w:val="009C609C"/>
    <w:rsid w:val="009D1971"/>
    <w:rsid w:val="009D541F"/>
    <w:rsid w:val="009E3FBB"/>
    <w:rsid w:val="009F092A"/>
    <w:rsid w:val="009F7763"/>
    <w:rsid w:val="00A406CE"/>
    <w:rsid w:val="00A56CF6"/>
    <w:rsid w:val="00A621E4"/>
    <w:rsid w:val="00A85AF8"/>
    <w:rsid w:val="00A938AD"/>
    <w:rsid w:val="00A95643"/>
    <w:rsid w:val="00AA4F6A"/>
    <w:rsid w:val="00AC320E"/>
    <w:rsid w:val="00AC3A76"/>
    <w:rsid w:val="00AF3591"/>
    <w:rsid w:val="00B14922"/>
    <w:rsid w:val="00B21093"/>
    <w:rsid w:val="00B7429D"/>
    <w:rsid w:val="00B765D3"/>
    <w:rsid w:val="00B9372A"/>
    <w:rsid w:val="00C35981"/>
    <w:rsid w:val="00C50E0A"/>
    <w:rsid w:val="00C961E5"/>
    <w:rsid w:val="00CE2DD3"/>
    <w:rsid w:val="00CE3AD3"/>
    <w:rsid w:val="00CF1B61"/>
    <w:rsid w:val="00CF2687"/>
    <w:rsid w:val="00D036B6"/>
    <w:rsid w:val="00D053CC"/>
    <w:rsid w:val="00D120A7"/>
    <w:rsid w:val="00D271D5"/>
    <w:rsid w:val="00D408EC"/>
    <w:rsid w:val="00D637AD"/>
    <w:rsid w:val="00D83FAF"/>
    <w:rsid w:val="00DA2DC6"/>
    <w:rsid w:val="00DA494F"/>
    <w:rsid w:val="00DB5548"/>
    <w:rsid w:val="00E02D17"/>
    <w:rsid w:val="00E044FF"/>
    <w:rsid w:val="00E220AB"/>
    <w:rsid w:val="00E376AC"/>
    <w:rsid w:val="00E518F0"/>
    <w:rsid w:val="00E63986"/>
    <w:rsid w:val="00E92EF7"/>
    <w:rsid w:val="00EA3529"/>
    <w:rsid w:val="00EB17B3"/>
    <w:rsid w:val="00EB3264"/>
    <w:rsid w:val="00EB54C4"/>
    <w:rsid w:val="00EC02EF"/>
    <w:rsid w:val="00ED4BB0"/>
    <w:rsid w:val="00EE0216"/>
    <w:rsid w:val="00EE0788"/>
    <w:rsid w:val="00F12086"/>
    <w:rsid w:val="00F277D1"/>
    <w:rsid w:val="00F279C4"/>
    <w:rsid w:val="00F436A2"/>
    <w:rsid w:val="00F44914"/>
    <w:rsid w:val="00F6084E"/>
    <w:rsid w:val="00F659E9"/>
    <w:rsid w:val="00F8596E"/>
    <w:rsid w:val="00F958DF"/>
    <w:rsid w:val="00FF019B"/>
    <w:rsid w:val="4A9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uiPriority w:val="39"/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119F-1929-41A1-9F48-367C75F95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3035</Words>
  <Characters>3269</Characters>
  <Lines>28</Lines>
  <Paragraphs>7</Paragraphs>
  <TotalTime>13</TotalTime>
  <ScaleCrop>false</ScaleCrop>
  <LinksUpToDate>false</LinksUpToDate>
  <CharactersWithSpaces>3307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2023-07-13T15:39:00Z</dcterms:created>
  <dc:creator>王媛</dc:creator>
  <cp:lastModifiedBy>王影</cp:lastModifiedBy>
  <dcterms:modified xsi:type="dcterms:W3CDTF">2023-07-14T03:20:53Z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9AB94E011C1D4494A0A09669AE350E5E_13</vt:lpwstr>
  </property>
</Properties>
</file>