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黑体" w:hAnsi="黑体"/>
          <w:sz w:val="21"/>
          <w:szCs w:val="21"/>
        </w:rPr>
      </w:pPr>
      <w:bookmarkStart w:id="0" w:name="FY"/>
      <w:r>
        <w:rPr>
          <w:rFonts w:ascii="黑体" w:hAnsi="黑体"/>
          <w:sz w:val="21"/>
          <w:szCs w:val="21"/>
        </w:rPr>
        <w:t>ICS</w:t>
      </w:r>
      <w:r>
        <w:rPr>
          <w:rFonts w:hint="eastAsia" w:ascii="黑体" w:hAnsi="黑体"/>
          <w:sz w:val="21"/>
          <w:szCs w:val="21"/>
        </w:rPr>
        <w:t xml:space="preserve"> </w:t>
      </w:r>
      <w:r>
        <w:rPr>
          <w:rFonts w:hint="eastAsia" w:ascii="黑体" w:hAnsi="黑体"/>
          <w:sz w:val="21"/>
          <w:szCs w:val="21"/>
          <w:lang w:val="en-US" w:eastAsia="zh-CN"/>
        </w:rPr>
        <w:t>13</w:t>
      </w:r>
      <w:r>
        <w:rPr>
          <w:rFonts w:ascii="黑体" w:hAnsi="黑体"/>
          <w:sz w:val="21"/>
          <w:szCs w:val="21"/>
        </w:rPr>
        <w:t>.</w:t>
      </w:r>
      <w:r>
        <w:rPr>
          <w:rFonts w:hint="eastAsia" w:ascii="黑体" w:hAnsi="黑体"/>
          <w:sz w:val="21"/>
          <w:szCs w:val="21"/>
          <w:lang w:val="en-US" w:eastAsia="zh-CN"/>
        </w:rPr>
        <w:t>060</w:t>
      </w:r>
      <w:r>
        <w:rPr>
          <w:rFonts w:ascii="黑体" w:hAnsi="黑体"/>
          <w:sz w:val="21"/>
          <w:szCs w:val="21"/>
        </w:rPr>
        <w:t>.</w:t>
      </w:r>
      <w:r>
        <w:rPr>
          <w:rFonts w:hint="eastAsia" w:ascii="黑体" w:hAnsi="黑体"/>
          <w:sz w:val="21"/>
          <w:szCs w:val="21"/>
          <w:lang w:val="en-US" w:eastAsia="zh-CN"/>
        </w:rPr>
        <w:t>01</w:t>
      </w:r>
    </w:p>
    <w:p>
      <w:pPr>
        <w:pStyle w:val="7"/>
      </w:pPr>
      <w:r>
        <w:rPr>
          <w:rFonts w:hint="eastAsia" w:ascii="黑体" w:hAnsi="黑体"/>
          <w:sz w:val="21"/>
          <w:szCs w:val="21"/>
          <w:lang w:val="en-US" w:eastAsia="zh-CN"/>
        </w:rPr>
        <w:t>Z</w:t>
      </w:r>
      <w:r>
        <w:rPr>
          <w:rFonts w:hint="eastAsia" w:ascii="黑体" w:hAnsi="黑体"/>
          <w:sz w:val="21"/>
          <w:szCs w:val="21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257175</wp:posOffset>
                </wp:positionV>
                <wp:extent cx="6258560" cy="1264920"/>
                <wp:effectExtent l="0" t="0" r="8890" b="1143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56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spacing w:before="312" w:beforeLines="0" w:after="312" w:afterLines="0"/>
                              <w:jc w:val="center"/>
                              <w:rPr>
                                <w:rFonts w:ascii="Times New Roman" w:hAnsi="Times New Roman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hAnsi="黑体"/>
                                <w:sz w:val="84"/>
                                <w:szCs w:val="84"/>
                              </w:rPr>
                              <w:t>团    体    标   准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15pt;margin-top:20.25pt;height:99.6pt;width:492.8pt;z-index:251664384;mso-width-relative:page;mso-height-relative:page;" fillcolor="#FFFFFF" filled="t" stroked="f" coordsize="21600,21600" o:gfxdata="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CSaEd2QAAAAoBAAAPAAAAAAAAAAEAIAAAACIAAABkcnMvZG93bnJl&#10;di54bWxQSwECFAAUAAAACACHTuJArTr8EsMBAAB4AwAADgAAAAAAAAABACAAAAAo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spacing w:before="312" w:beforeLines="0" w:after="312" w:afterLines="0"/>
                        <w:jc w:val="center"/>
                        <w:rPr>
                          <w:rFonts w:ascii="Times New Roman" w:hAnsi="Times New Roman"/>
                          <w:sz w:val="84"/>
                          <w:szCs w:val="84"/>
                        </w:rPr>
                      </w:pPr>
                      <w:r>
                        <w:rPr>
                          <w:rFonts w:hint="eastAsia" w:hAnsi="黑体"/>
                          <w:sz w:val="84"/>
                          <w:szCs w:val="84"/>
                        </w:rPr>
                        <w:t>团    体    标   准</w:t>
                      </w:r>
                    </w:p>
                    <w:p>
                      <w:pPr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/>
          <w:sz w:val="21"/>
          <w:szCs w:val="21"/>
          <w:lang w:val="en-US" w:eastAsia="zh-CN"/>
        </w:rPr>
        <w:t>16</w:t>
      </w:r>
    </w:p>
    <w:bookmarkEnd w:id="0"/>
    <w:p>
      <w:pPr>
        <w:pStyle w:val="8"/>
        <w:spacing w:before="156" w:beforeLines="0" w:after="156" w:afterLines="0"/>
        <w:outlineLvl w:val="9"/>
        <w:sectPr>
          <w:footerReference r:id="rId5" w:type="first"/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decimal" w:start="1"/>
          <w:cols w:space="720" w:num="1"/>
          <w:formProt w:val="0"/>
          <w:titlePg/>
          <w:docGrid w:type="lines" w:linePitch="312" w:charSpace="0"/>
        </w:sectPr>
      </w:pPr>
    </w:p>
    <w:p>
      <w:pPr>
        <w:pStyle w:val="8"/>
        <w:spacing w:before="156" w:beforeLines="0" w:after="156" w:afterLines="0"/>
        <w:outlineLvl w:val="9"/>
        <w:sectPr>
          <w:type w:val="continuous"/>
          <w:pgSz w:w="11906" w:h="16838"/>
          <w:pgMar w:top="567" w:right="1134" w:bottom="1134" w:left="1418" w:header="1418" w:footer="1134" w:gutter="0"/>
          <w:pgNumType w:fmt="decimal" w:start="1"/>
          <w:cols w:space="720" w:num="1"/>
          <w:formProt w:val="0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3140075</wp:posOffset>
                </wp:positionV>
                <wp:extent cx="6258560" cy="2795270"/>
                <wp:effectExtent l="0" t="0" r="889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8560" cy="279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Calibri" w:eastAsia="黑体" w:cs="Times New Roman"/>
                                <w:kern w:val="0"/>
                                <w:sz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Calibri" w:eastAsia="黑体" w:cs="Times New Roman"/>
                                <w:kern w:val="0"/>
                                <w:sz w:val="52"/>
                                <w:lang w:val="en-US" w:eastAsia="zh-CN"/>
                              </w:rPr>
                              <w:t>水质 拟柱孢藻毒素</w:t>
                            </w:r>
                            <w:r>
                              <w:rPr>
                                <w:rFonts w:hint="eastAsia" w:ascii="黑体" w:hAnsi="Calibri" w:eastAsia="黑体" w:cs="Times New Roman"/>
                                <w:kern w:val="0"/>
                                <w:sz w:val="52"/>
                                <w:lang w:eastAsia="zh-CN"/>
                              </w:rPr>
                              <w:t>的测定</w:t>
                            </w:r>
                            <w:r>
                              <w:rPr>
                                <w:rFonts w:hint="eastAsia" w:ascii="黑体" w:hAnsi="Calibri" w:eastAsia="黑体" w:cs="Times New Roman"/>
                                <w:kern w:val="0"/>
                                <w:sz w:val="52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Calibri" w:eastAsia="黑体" w:cs="Times New Roman"/>
                                <w:kern w:val="0"/>
                                <w:sz w:val="52"/>
                              </w:rPr>
                            </w:pPr>
                            <w:r>
                              <w:rPr>
                                <w:rFonts w:hint="eastAsia" w:ascii="黑体" w:hAnsi="Calibri" w:eastAsia="黑体" w:cs="Times New Roman"/>
                                <w:kern w:val="0"/>
                                <w:sz w:val="52"/>
                                <w:lang w:val="en-US" w:eastAsia="zh-CN"/>
                              </w:rPr>
                              <w:t>酶联免疫吸附</w:t>
                            </w:r>
                            <w:r>
                              <w:rPr>
                                <w:rFonts w:hint="eastAsia" w:ascii="黑体" w:hAnsi="Calibri" w:eastAsia="黑体" w:cs="Times New Roman"/>
                                <w:kern w:val="0"/>
                                <w:sz w:val="52"/>
                              </w:rPr>
                              <w:t>法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52"/>
                                <w:szCs w:val="52"/>
                              </w:rPr>
                              <w:t>（</w:t>
                            </w:r>
                            <w:r>
                              <w:rPr>
                                <w:rFonts w:hint="eastAsia" w:ascii="黑体" w:hAnsi="黑体" w:eastAsia="黑体"/>
                                <w:sz w:val="52"/>
                                <w:szCs w:val="52"/>
                                <w:lang w:eastAsia="zh-CN"/>
                              </w:rPr>
                              <w:t>送审稿</w:t>
                            </w:r>
                            <w:r>
                              <w:rPr>
                                <w:rFonts w:hint="eastAsia" w:ascii="黑体" w:hAnsi="黑体" w:eastAsia="黑体"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Water</w:t>
                            </w:r>
                            <w:r>
                              <w:rPr>
                                <w:rFonts w:hint="eastAsia" w:ascii="Times New Roman" w:hAnsi="Times New Roman" w:eastAsia="黑体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黑体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 xml:space="preserve">quality-Determination of Cylindrospermopsin- </w:t>
                            </w:r>
                            <w:r>
                              <w:rPr>
                                <w:rFonts w:hint="eastAsia" w:ascii="Times New Roman" w:hAnsi="Times New Roman" w:eastAsia="黑体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E</w:t>
                            </w:r>
                            <w:r>
                              <w:rPr>
                                <w:rFonts w:hint="default" w:ascii="Times New Roman" w:hAnsi="Times New Roman" w:eastAsia="黑体"/>
                                <w:kern w:val="0"/>
                                <w:sz w:val="28"/>
                                <w:szCs w:val="28"/>
                                <w:lang w:val="en-US" w:eastAsia="zh-CN"/>
                              </w:rPr>
                              <w:t>nzyme linked immunosorbent assay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1pt;margin-top:247.25pt;height:220.1pt;width:492.8pt;z-index:251666432;mso-width-relative:page;mso-height-relative:page;" fillcolor="#FFFFFF" filled="t" stroked="f" coordsize="21600,21600" o:gfxdata="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IvCkOtoAAAALAQAADwAAAAAAAAABACAAAAAiAAAAZHJzL2Rvd25y&#10;ZXYueG1sUEsBAhQAFAAAAAgAh07iQBJdhIPDAQAAeAMAAA4AAAAAAAAAAQAgAAAAKQ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Calibri" w:eastAsia="黑体" w:cs="Times New Roman"/>
                          <w:kern w:val="0"/>
                          <w:sz w:val="52"/>
                          <w:lang w:val="en-US" w:eastAsia="zh-CN"/>
                        </w:rPr>
                      </w:pPr>
                      <w:r>
                        <w:rPr>
                          <w:rFonts w:hint="eastAsia" w:ascii="黑体" w:hAnsi="Calibri" w:eastAsia="黑体" w:cs="Times New Roman"/>
                          <w:kern w:val="0"/>
                          <w:sz w:val="52"/>
                          <w:lang w:val="en-US" w:eastAsia="zh-CN"/>
                        </w:rPr>
                        <w:t>水质 拟柱孢藻毒素</w:t>
                      </w:r>
                      <w:r>
                        <w:rPr>
                          <w:rFonts w:hint="eastAsia" w:ascii="黑体" w:hAnsi="Calibri" w:eastAsia="黑体" w:cs="Times New Roman"/>
                          <w:kern w:val="0"/>
                          <w:sz w:val="52"/>
                          <w:lang w:eastAsia="zh-CN"/>
                        </w:rPr>
                        <w:t>的测定</w:t>
                      </w:r>
                      <w:r>
                        <w:rPr>
                          <w:rFonts w:hint="eastAsia" w:ascii="黑体" w:hAnsi="Calibri" w:eastAsia="黑体" w:cs="Times New Roman"/>
                          <w:kern w:val="0"/>
                          <w:sz w:val="52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hint="eastAsia" w:ascii="黑体" w:hAnsi="Calibri" w:eastAsia="黑体" w:cs="Times New Roman"/>
                          <w:kern w:val="0"/>
                          <w:sz w:val="52"/>
                        </w:rPr>
                      </w:pPr>
                      <w:r>
                        <w:rPr>
                          <w:rFonts w:hint="eastAsia" w:ascii="黑体" w:hAnsi="Calibri" w:eastAsia="黑体" w:cs="Times New Roman"/>
                          <w:kern w:val="0"/>
                          <w:sz w:val="52"/>
                          <w:lang w:val="en-US" w:eastAsia="zh-CN"/>
                        </w:rPr>
                        <w:t>酶联免疫吸附</w:t>
                      </w:r>
                      <w:r>
                        <w:rPr>
                          <w:rFonts w:hint="eastAsia" w:ascii="黑体" w:hAnsi="Calibri" w:eastAsia="黑体" w:cs="Times New Roman"/>
                          <w:kern w:val="0"/>
                          <w:sz w:val="52"/>
                        </w:rPr>
                        <w:t>法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/>
                          <w:sz w:val="52"/>
                          <w:szCs w:val="52"/>
                        </w:rPr>
                        <w:t>（</w:t>
                      </w:r>
                      <w:r>
                        <w:rPr>
                          <w:rFonts w:hint="eastAsia" w:ascii="黑体" w:hAnsi="黑体" w:eastAsia="黑体"/>
                          <w:sz w:val="52"/>
                          <w:szCs w:val="52"/>
                          <w:lang w:eastAsia="zh-CN"/>
                        </w:rPr>
                        <w:t>送审稿</w:t>
                      </w:r>
                      <w:r>
                        <w:rPr>
                          <w:rFonts w:hint="eastAsia" w:ascii="黑体" w:hAnsi="黑体" w:eastAsia="黑体"/>
                          <w:sz w:val="52"/>
                          <w:szCs w:val="52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黑体"/>
                          <w:kern w:val="0"/>
                          <w:sz w:val="28"/>
                          <w:szCs w:val="28"/>
                          <w:lang w:val="en-US" w:eastAsia="zh-CN"/>
                        </w:rPr>
                        <w:t>Water</w:t>
                      </w:r>
                      <w:r>
                        <w:rPr>
                          <w:rFonts w:hint="eastAsia" w:ascii="Times New Roman" w:hAnsi="Times New Roman" w:eastAsia="黑体"/>
                          <w:kern w:val="0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黑体"/>
                          <w:kern w:val="0"/>
                          <w:sz w:val="28"/>
                          <w:szCs w:val="28"/>
                          <w:lang w:val="en-US" w:eastAsia="zh-CN"/>
                        </w:rPr>
                        <w:t xml:space="preserve">quality-Determination of Cylindrospermopsin- </w:t>
                      </w:r>
                      <w:r>
                        <w:rPr>
                          <w:rFonts w:hint="eastAsia" w:ascii="Times New Roman" w:hAnsi="Times New Roman" w:eastAsia="黑体"/>
                          <w:kern w:val="0"/>
                          <w:sz w:val="28"/>
                          <w:szCs w:val="28"/>
                          <w:lang w:val="en-US" w:eastAsia="zh-CN"/>
                        </w:rPr>
                        <w:t>E</w:t>
                      </w:r>
                      <w:r>
                        <w:rPr>
                          <w:rFonts w:hint="default" w:ascii="Times New Roman" w:hAnsi="Times New Roman" w:eastAsia="黑体"/>
                          <w:kern w:val="0"/>
                          <w:sz w:val="28"/>
                          <w:szCs w:val="28"/>
                          <w:lang w:val="en-US" w:eastAsia="zh-CN"/>
                        </w:rPr>
                        <w:t>nzyme linked immunosorbent assay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8340090</wp:posOffset>
                </wp:positionV>
                <wp:extent cx="1530985" cy="474980"/>
                <wp:effectExtent l="0" t="0" r="12065" b="127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/>
                                <w:sz w:val="28"/>
                                <w:szCs w:val="2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黑体" w:hAnsi="黑体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黑体" w:hAnsi="黑体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实施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4.35pt;margin-top:656.7pt;height:37.4pt;width:120.55pt;z-index:251660288;mso-width-relative:page;mso-height-relative:page;" fillcolor="#FFFFFF" filled="t" stroked="f" coordsize="21600,21600" o:gfxdata="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qBxDD2QAAAA0BAAAPAAAAAAAAAAEAIAAAACIAAABkcnMvZG93bnJl&#10;di54bWxQSwECFAAUAAAACACHTuJAf1qVbsMBAAB3AwAADgAAAAAAAAABACAAAAAo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/>
                          <w:sz w:val="28"/>
                          <w:szCs w:val="28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黑体" w:hAnsi="黑体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 w:ascii="黑体" w:hAnsi="黑体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ascii="黑体" w:hAnsi="黑体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 w:ascii="黑体" w:hAnsi="黑体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实施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8921115</wp:posOffset>
                </wp:positionV>
                <wp:extent cx="4073525" cy="554355"/>
                <wp:effectExtent l="0" t="0" r="3175" b="1714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pacing w:val="20"/>
                                <w:w w:val="135"/>
                                <w:sz w:val="28"/>
                                <w:szCs w:val="28"/>
                              </w:rPr>
                              <w:t>深圳市分析测试协会</w:t>
                            </w:r>
                            <w: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Style w:val="10"/>
                                <w:rFonts w:hint="eastAsia" w:hAnsi="黑体"/>
                              </w:rPr>
                              <w:t>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35pt;margin-top:702.45pt;height:43.65pt;width:320.75pt;z-index:251667456;mso-width-relative:page;mso-height-relative:page;" fillcolor="#FFFFFF" filled="t" stroked="f" coordsize="21600,21600" o:gfxdata="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1g2Ky2AAAAA0BAAAPAAAAAAAAAAEAIAAAACIAAABkcnMvZG93bnJldi54&#10;bWxQSwECFAAUAAAACACHTuJAHKdM08EBAAB3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spacing w:val="20"/>
                          <w:w w:val="135"/>
                          <w:sz w:val="28"/>
                          <w:szCs w:val="28"/>
                        </w:rPr>
                        <w:t>深圳市分析测试协会</w:t>
                      </w:r>
                      <w:r>
                        <w:rPr>
                          <w:rFonts w:ascii="黑体" w:hAnsi="黑体" w:eastAsia="黑体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Style w:val="10"/>
                          <w:rFonts w:hint="eastAsia" w:hAnsi="黑体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8340090</wp:posOffset>
                </wp:positionV>
                <wp:extent cx="1530985" cy="474980"/>
                <wp:effectExtent l="0" t="0" r="12065" b="127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/>
                                <w:sz w:val="28"/>
                                <w:szCs w:val="28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黑体" w:hAnsi="黑体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黑体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 w:ascii="黑体" w:hAnsi="黑体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</w:rPr>
                              <w:t>发布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656.7pt;height:37.4pt;width:120.55pt;z-index:251661312;mso-width-relative:page;mso-height-relative:page;" fillcolor="#FFFFFF" filled="t" stroked="f" coordsize="21600,21600" o:gfxdata="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E3HNK2QAAAA0BAAAPAAAAAAAAAAEAIAAAACIAAABkcnMvZG93bnJl&#10;di54bWxQSwECFAAUAAAACACHTuJAjPOr68MBAAB3AwAADgAAAAAAAAABACAAAAAo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/>
                          <w:sz w:val="28"/>
                          <w:szCs w:val="28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黑体" w:hAnsi="黑体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 w:ascii="黑体" w:hAnsi="黑体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黑体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 w:ascii="黑体" w:hAnsi="黑体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</w:rPr>
                        <w:t>发布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1125855</wp:posOffset>
                </wp:positionV>
                <wp:extent cx="2270125" cy="400050"/>
                <wp:effectExtent l="0" t="0" r="15875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  <w:t xml:space="preserve">T/SATA  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ascii="黑体" w:hAnsi="黑体" w:eastAsia="黑体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28"/>
                                <w:lang w:val="en-US" w:eastAsia="zh-CN"/>
                              </w:rPr>
                              <w:t>xxxx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1pt;margin-top:88.65pt;height:31.5pt;width:178.75pt;z-index:251665408;mso-width-relative:page;mso-height-relative:page;" fillcolor="#FFFFFF" filled="t" stroked="f" coordsize="21600,21600" o:gfxdata="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M9ev02AAAAAwBAAAPAAAAAAAAAAEAIAAAACIAAABkcnMvZG93bnJldi54&#10;bWxQSwECFAAUAAAACACHTuJA/gA6MsEBAAB3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hAnsi="黑体" w:eastAsia="黑体"/>
                          <w:sz w:val="28"/>
                          <w:szCs w:val="28"/>
                        </w:rPr>
                        <w:t xml:space="preserve">T/SATA  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lang w:val="en-US" w:eastAsia="zh-CN"/>
                        </w:rPr>
                        <w:t>xxx</w:t>
                      </w:r>
                      <w:r>
                        <w:rPr>
                          <w:rFonts w:ascii="黑体" w:hAnsi="黑体" w:eastAsia="黑体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hint="eastAsia" w:ascii="黑体" w:hAnsi="黑体" w:eastAsia="黑体"/>
                          <w:sz w:val="28"/>
                          <w:szCs w:val="28"/>
                          <w:lang w:val="en-US" w:eastAsia="zh-CN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1551305</wp:posOffset>
                </wp:positionV>
                <wp:extent cx="611949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95pt;margin-top:122.15pt;height:0pt;width:481.85pt;z-index:251663360;mso-width-relative:page;mso-height-relative:page;" filled="f" stroked="t" coordsize="21600,21600" o:gfxdata="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5ZJb9gAAAALAQAADwAAAAAAAAABACAAAAAiAAAAZHJzL2Rvd25yZXYueG1sUEsB&#10;AhQAFAAAAAgAh07iQFYa2o71AQAA5A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ge">
                  <wp:posOffset>9521825</wp:posOffset>
                </wp:positionV>
                <wp:extent cx="611949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6.95pt;margin-top:749.75pt;height:0pt;width:481.85pt;mso-position-vertical-relative:page;z-index:251662336;mso-width-relative:page;mso-height-relative:page;" filled="f" stroked="t" coordsize="21600,21600" o:gfxdata="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+MfGk1wAAAA0BAAAPAAAAAAAAAAEAIAAAACIAAABkcnMvZG93bnJldi54bWxQSwEC&#10;FAAUAAAACACHTuJAb/O35PUBAADk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   次</w:t>
      </w:r>
    </w:p>
    <w:sdt>
      <w:sdtPr>
        <w:rPr>
          <w:rFonts w:ascii="宋体" w:hAnsi="宋体" w:eastAsia="宋体" w:cs="Times New Roman"/>
          <w:kern w:val="2"/>
          <w:sz w:val="21"/>
          <w:lang w:val="en-US" w:eastAsia="zh-CN" w:bidi="ar-SA"/>
        </w:rPr>
        <w:id w:val="147468159"/>
        <w15:color w:val="DBDBDB"/>
        <w:docPartObj>
          <w:docPartGallery w:val="Table of Contents"/>
          <w:docPartUnique/>
        </w:docPartObj>
      </w:sdtPr>
      <w:sdtEndPr>
        <w:rPr>
          <w:rFonts w:hint="eastAsia" w:ascii="黑体" w:hAnsi="黑体" w:eastAsia="黑体" w:cs="黑体"/>
          <w:kern w:val="2"/>
          <w:sz w:val="21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TOC \o "1-1" \h \u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HYPERLINK \l _Toc11388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t xml:space="preserve">1 </w:t>
          </w:r>
          <w:r>
            <w:rPr>
              <w:rFonts w:hint="eastAsia" w:ascii="宋体" w:hAnsi="宋体" w:eastAsia="宋体" w:cs="宋体"/>
              <w:sz w:val="24"/>
              <w:szCs w:val="24"/>
            </w:rPr>
            <w:t xml:space="preserve"> 范围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_Toc11388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HYPERLINK \l _Toc22967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t>2  规范性引用文件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_Toc22967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HYPERLINK \l _Toc25248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t>3  方法原理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_Toc25248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HYPERLINK \l _Toc18247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t>4  试剂与材料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_Toc18247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HYPERLINK \l _Toc18335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t>5  仪器和设备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_Toc18335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HYPERLINK \l _Toc30298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highlight w:val="none"/>
              <w:lang w:val="en-US" w:eastAsia="zh-CN"/>
            </w:rPr>
            <w:t>6  样品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_Toc30298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HYPERLINK \l _Toc7081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t>7  分析步骤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_Toc7081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HYPERLINK \l _Toc23250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t>8  结果计算与表示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_Toc23250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2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HYPERLINK \l _Toc29763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t>9  精密度和准确度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_Toc29763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  <w:rPr>
              <w:sz w:val="24"/>
              <w:szCs w:val="24"/>
            </w:rPr>
          </w:pP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HYPERLINK \l _Toc9733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t>10  质量保证和质量控制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_Toc9733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</w:p>
        <w:p>
          <w:pPr>
            <w:pStyle w:val="20"/>
            <w:keepNext w:val="0"/>
            <w:keepLines w:val="0"/>
            <w:pageBreakBefore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rFonts w:hint="eastAsia" w:ascii="黑体" w:hAnsi="黑体" w:eastAsia="黑体" w:cs="黑体"/>
              <w:sz w:val="24"/>
              <w:szCs w:val="24"/>
            </w:rPr>
            <w:fldChar w:fldCharType="begin"/>
          </w:r>
          <w:r>
            <w:rPr>
              <w:rFonts w:hint="eastAsia" w:ascii="黑体" w:hAnsi="黑体" w:eastAsia="黑体" w:cs="黑体"/>
              <w:sz w:val="24"/>
              <w:szCs w:val="24"/>
            </w:rPr>
            <w:instrText xml:space="preserve"> HYPERLINK \l _Toc30959 </w:instrText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separate"/>
          </w:r>
          <w:r>
            <w:rPr>
              <w:rFonts w:hint="eastAsia" w:ascii="宋体" w:hAnsi="宋体" w:eastAsia="宋体" w:cs="宋体"/>
              <w:sz w:val="24"/>
              <w:szCs w:val="24"/>
              <w:lang w:val="en-US" w:eastAsia="zh-CN"/>
            </w:rPr>
            <w:t>11  废物处理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PAGEREF _Toc30959 \h </w:instrText>
          </w:r>
          <w:r>
            <w:rPr>
              <w:sz w:val="24"/>
              <w:szCs w:val="24"/>
            </w:rPr>
            <w:fldChar w:fldCharType="separate"/>
          </w:r>
          <w:r>
            <w:rPr>
              <w:sz w:val="24"/>
              <w:szCs w:val="24"/>
            </w:rPr>
            <w:t>4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黑体" w:hAnsi="黑体" w:eastAsia="黑体" w:cs="黑体"/>
              <w:sz w:val="24"/>
              <w:szCs w:val="24"/>
            </w:rPr>
            <w:fldChar w:fldCharType="end"/>
          </w: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center"/>
            <w:textAlignment w:val="auto"/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szCs w:val="32"/>
            </w:rPr>
            <w:fldChar w:fldCharType="end"/>
          </w:r>
        </w:p>
      </w:sdtContent>
    </w:sdt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8"/>
        <w:spacing w:before="156" w:beforeLines="0" w:after="156" w:afterLines="0"/>
        <w:rPr>
          <w:rFonts w:hint="eastAsia"/>
        </w:rPr>
      </w:pPr>
      <w:bookmarkStart w:id="1" w:name="_Toc20794"/>
      <w:bookmarkStart w:id="2" w:name="_Toc12484"/>
    </w:p>
    <w:p>
      <w:pPr>
        <w:pStyle w:val="8"/>
        <w:spacing w:before="156" w:beforeLines="0" w:after="156" w:afterLines="0"/>
        <w:rPr>
          <w:rFonts w:hint="eastAsia"/>
        </w:rPr>
      </w:pPr>
    </w:p>
    <w:p>
      <w:pPr>
        <w:pStyle w:val="8"/>
        <w:spacing w:before="156" w:beforeLines="0" w:after="156" w:afterLines="0"/>
        <w:rPr>
          <w:rFonts w:hint="eastAsia"/>
        </w:rPr>
      </w:pPr>
    </w:p>
    <w:p>
      <w:pPr>
        <w:pStyle w:val="8"/>
        <w:spacing w:before="156" w:beforeLines="0" w:after="156" w:afterLines="0"/>
        <w:rPr>
          <w:rFonts w:hint="eastAsia"/>
        </w:rPr>
      </w:pPr>
    </w:p>
    <w:p>
      <w:pPr>
        <w:pStyle w:val="8"/>
        <w:spacing w:before="156" w:beforeLines="0" w:after="156" w:afterLines="0"/>
        <w:rPr>
          <w:rFonts w:hint="eastAsia"/>
        </w:rPr>
      </w:pPr>
    </w:p>
    <w:p>
      <w:pPr>
        <w:pStyle w:val="8"/>
        <w:spacing w:before="156" w:beforeLines="0" w:after="156" w:afterLines="0"/>
      </w:pPr>
      <w:r>
        <w:rPr>
          <w:rFonts w:hint="eastAsia"/>
        </w:rPr>
        <w:t>前</w:t>
      </w:r>
      <w:r>
        <w:t xml:space="preserve">    </w:t>
      </w:r>
      <w:r>
        <w:rPr>
          <w:rFonts w:hint="eastAsia"/>
        </w:rPr>
        <w:t>言</w:t>
      </w:r>
      <w:bookmarkEnd w:id="1"/>
      <w:bookmarkEnd w:id="2"/>
    </w:p>
    <w:p>
      <w:pPr>
        <w:pStyle w:val="12"/>
      </w:pPr>
    </w:p>
    <w:p>
      <w:pPr>
        <w:pStyle w:val="12"/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本标准按照GB/T1.1给出的规则起草。</w:t>
      </w:r>
      <w:bookmarkStart w:id="39" w:name="_GoBack"/>
      <w:bookmarkEnd w:id="39"/>
    </w:p>
    <w:p>
      <w:pPr>
        <w:pStyle w:val="12"/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本标准由深圳市分析测试协会归口。</w:t>
      </w:r>
    </w:p>
    <w:p>
      <w:pPr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本标准主要起草单位：</w:t>
      </w:r>
      <w:r>
        <w:rPr>
          <w:rFonts w:hint="eastAsia" w:ascii="宋体" w:hAnsi="宋体" w:cs="宋体"/>
          <w:lang w:val="en-US" w:eastAsia="zh-CN"/>
        </w:rPr>
        <w:t>广东粤海水务检测技术有限公司</w:t>
      </w:r>
      <w:r>
        <w:rPr>
          <w:rFonts w:hint="eastAsia" w:ascii="宋体" w:hAnsi="宋体" w:eastAsia="宋体" w:cs="宋体"/>
        </w:rPr>
        <w:t>。</w:t>
      </w:r>
    </w:p>
    <w:p>
      <w:pPr>
        <w:jc w:val="both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本标准主要起草人：</w:t>
      </w:r>
      <w:r>
        <w:rPr>
          <w:rFonts w:hint="eastAsia" w:ascii="宋体" w:hAnsi="宋体" w:cs="宋体"/>
          <w:lang w:val="en-US" w:eastAsia="zh-CN"/>
        </w:rPr>
        <w:t>路晓锋，杨创涛，郑开云，郭瞻宇，彭俊翔，游文丹，吴凡，韦雪柠，杨颖，王樊，李秀虹，彭鹭，黄慧星，黄子其，龙庆平，陆心卉，王庆生，何振乾。</w:t>
      </w:r>
    </w:p>
    <w:p>
      <w:pPr>
        <w:pStyle w:val="12"/>
        <w:ind w:left="0" w:leftChars="0" w:firstLine="0" w:firstLineChars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本标准为首次发布。</w:t>
      </w: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jc w:val="both"/>
        <w:rPr>
          <w:rFonts w:hint="eastAsia" w:ascii="宋体" w:hAnsi="宋体" w:eastAsia="宋体" w:cs="宋体"/>
        </w:rPr>
      </w:pPr>
    </w:p>
    <w:p>
      <w:pPr>
        <w:pStyle w:val="13"/>
        <w:outlineLvl w:val="9"/>
        <w:rPr>
          <w:rFonts w:hint="eastAsia"/>
          <w:lang w:val="en-US"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13"/>
        <w:rPr>
          <w:rFonts w:hint="eastAsia"/>
        </w:rPr>
      </w:pPr>
      <w:bookmarkStart w:id="3" w:name="_Toc19693"/>
      <w:bookmarkStart w:id="4" w:name="_Toc4657"/>
      <w:r>
        <w:rPr>
          <w:rFonts w:hint="eastAsia"/>
          <w:lang w:val="en-US" w:eastAsia="zh-CN"/>
        </w:rPr>
        <w:t>水质 拟柱孢藻毒素</w:t>
      </w:r>
      <w:r>
        <w:rPr>
          <w:rFonts w:hint="eastAsia"/>
        </w:rPr>
        <w:t xml:space="preserve">的测定 </w:t>
      </w:r>
      <w:r>
        <w:rPr>
          <w:rFonts w:hint="eastAsia"/>
          <w:lang w:val="en-US" w:eastAsia="zh-CN"/>
        </w:rPr>
        <w:t>酶联免疫吸附</w:t>
      </w:r>
      <w:r>
        <w:rPr>
          <w:rFonts w:hint="eastAsia"/>
        </w:rPr>
        <w:t>法</w:t>
      </w:r>
      <w:bookmarkEnd w:id="3"/>
      <w:bookmarkEnd w:id="4"/>
    </w:p>
    <w:p>
      <w:pPr>
        <w:pStyle w:val="12"/>
        <w:ind w:firstLine="361"/>
      </w:pPr>
      <w:r>
        <w:rPr>
          <w:rFonts w:hint="eastAsia"/>
          <w:b/>
          <w:sz w:val="18"/>
          <w:szCs w:val="18"/>
        </w:rPr>
        <w:t>警告：本标准可能涉及某些有危险性的材料、操作和设备，但是并未对与此有关的所有安全问题都提出建议。因此，使用者在应用本标准前应建立适当的安全和防护措施，并确定相关规章限制的适用性。</w:t>
      </w:r>
    </w:p>
    <w:p>
      <w:pPr>
        <w:pStyle w:val="14"/>
        <w:numPr>
          <w:ilvl w:val="0"/>
          <w:numId w:val="0"/>
        </w:numPr>
        <w:spacing w:before="312" w:beforeLines="0" w:after="312" w:afterLines="0"/>
        <w:outlineLvl w:val="0"/>
        <w:rPr>
          <w:rFonts w:hint="eastAsia" w:ascii="宋体" w:hAnsi="宋体" w:eastAsia="宋体" w:cs="宋体"/>
          <w:sz w:val="24"/>
          <w:szCs w:val="24"/>
        </w:rPr>
      </w:pPr>
      <w:bookmarkStart w:id="5" w:name="_Toc11388"/>
      <w:bookmarkStart w:id="6" w:name="_Toc9222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 </w:t>
      </w:r>
      <w:r>
        <w:rPr>
          <w:rFonts w:hint="eastAsia" w:ascii="宋体" w:hAnsi="宋体" w:eastAsia="宋体" w:cs="宋体"/>
          <w:sz w:val="24"/>
          <w:szCs w:val="24"/>
        </w:rPr>
        <w:t xml:space="preserve"> 范围</w:t>
      </w:r>
      <w:bookmarkEnd w:id="5"/>
      <w:bookmarkEnd w:id="6"/>
    </w:p>
    <w:p>
      <w:pPr>
        <w:pStyle w:val="15"/>
        <w:ind w:firstLine="420" w:firstLineChars="200"/>
        <w:rPr>
          <w:rFonts w:hint="eastAsia" w:ascii="宋体" w:hAnsi="宋体" w:eastAsia="宋体" w:cs="宋体"/>
          <w:szCs w:val="20"/>
        </w:rPr>
      </w:pPr>
      <w:r>
        <w:rPr>
          <w:rFonts w:hint="eastAsia" w:ascii="宋体" w:hAnsi="宋体" w:eastAsia="宋体" w:cs="宋体"/>
          <w:szCs w:val="20"/>
        </w:rPr>
        <w:t>本标准规定了测定水中</w:t>
      </w:r>
      <w:r>
        <w:rPr>
          <w:rFonts w:hint="eastAsia" w:ascii="宋体" w:hAnsi="宋体" w:cs="宋体"/>
          <w:szCs w:val="20"/>
          <w:lang w:val="en-US" w:eastAsia="zh-CN"/>
        </w:rPr>
        <w:t>拟柱孢藻毒素</w:t>
      </w:r>
      <w:r>
        <w:rPr>
          <w:rFonts w:hint="eastAsia" w:ascii="宋体" w:hAnsi="宋体" w:eastAsia="宋体" w:cs="宋体"/>
          <w:szCs w:val="20"/>
        </w:rPr>
        <w:t>的</w:t>
      </w:r>
      <w:r>
        <w:rPr>
          <w:rFonts w:hint="eastAsia" w:ascii="宋体" w:hAnsi="宋体" w:cs="宋体"/>
          <w:szCs w:val="20"/>
          <w:lang w:val="en-US" w:eastAsia="zh-CN"/>
        </w:rPr>
        <w:t>酶联免疫吸附</w:t>
      </w:r>
      <w:r>
        <w:rPr>
          <w:rFonts w:hint="eastAsia" w:ascii="宋体" w:hAnsi="宋体" w:eastAsia="宋体" w:cs="宋体"/>
          <w:szCs w:val="20"/>
        </w:rPr>
        <w:t>法。</w:t>
      </w:r>
    </w:p>
    <w:p>
      <w:pPr>
        <w:pStyle w:val="15"/>
        <w:ind w:firstLine="420" w:firstLineChars="200"/>
        <w:rPr>
          <w:rFonts w:hint="eastAsia" w:ascii="宋体" w:hAnsi="宋体" w:eastAsia="宋体" w:cs="宋体"/>
          <w:szCs w:val="20"/>
        </w:rPr>
      </w:pPr>
      <w:r>
        <w:rPr>
          <w:rFonts w:hint="eastAsia" w:ascii="宋体" w:hAnsi="宋体" w:eastAsia="宋体" w:cs="宋体"/>
          <w:szCs w:val="20"/>
        </w:rPr>
        <w:t>本标准适用于地表水中</w:t>
      </w:r>
      <w:r>
        <w:rPr>
          <w:rFonts w:hint="eastAsia" w:ascii="宋体" w:hAnsi="宋体" w:cs="宋体"/>
          <w:szCs w:val="20"/>
          <w:lang w:val="en-US" w:eastAsia="zh-CN"/>
        </w:rPr>
        <w:t>拟柱孢藻毒素</w:t>
      </w:r>
      <w:r>
        <w:rPr>
          <w:rFonts w:hint="eastAsia" w:ascii="宋体" w:hAnsi="宋体" w:eastAsia="宋体" w:cs="宋体"/>
          <w:szCs w:val="20"/>
        </w:rPr>
        <w:t>的测定。</w:t>
      </w:r>
    </w:p>
    <w:p>
      <w:pPr>
        <w:pStyle w:val="16"/>
        <w:autoSpaceDN w:val="0"/>
        <w:spacing w:before="0" w:beforeLines="0" w:after="0" w:afterLines="0"/>
        <w:ind w:firstLine="420"/>
        <w:rPr>
          <w:rFonts w:hint="eastAsia" w:ascii="宋体" w:hAnsi="宋体" w:eastAsia="宋体" w:cs="宋体"/>
          <w:szCs w:val="20"/>
        </w:rPr>
      </w:pPr>
      <w:r>
        <w:rPr>
          <w:rFonts w:hint="eastAsia" w:ascii="宋体" w:hAnsi="宋体" w:eastAsia="宋体" w:cs="宋体"/>
          <w:szCs w:val="20"/>
        </w:rPr>
        <w:t>通过</w:t>
      </w:r>
      <w:r>
        <w:rPr>
          <w:rFonts w:hint="eastAsia" w:ascii="宋体" w:hAnsi="宋体" w:eastAsia="宋体" w:cs="宋体"/>
          <w:lang w:val="en-US" w:eastAsia="zh-CN"/>
        </w:rPr>
        <w:t>反复冻融和离心</w:t>
      </w:r>
      <w:r>
        <w:rPr>
          <w:rFonts w:hint="eastAsia" w:ascii="宋体" w:hAnsi="宋体" w:eastAsia="宋体" w:cs="宋体"/>
        </w:rPr>
        <w:t>对水样进行</w:t>
      </w:r>
      <w:r>
        <w:rPr>
          <w:rFonts w:hint="eastAsia" w:ascii="宋体" w:hAnsi="宋体" w:eastAsia="宋体" w:cs="宋体"/>
          <w:lang w:val="en-US" w:eastAsia="zh-CN"/>
        </w:rPr>
        <w:t>前处理</w:t>
      </w:r>
      <w:r>
        <w:rPr>
          <w:rFonts w:hint="eastAsia" w:ascii="宋体" w:hAnsi="宋体" w:eastAsia="宋体" w:cs="宋体"/>
          <w:szCs w:val="20"/>
        </w:rPr>
        <w:t>，当样品体积为</w:t>
      </w:r>
      <w:r>
        <w:rPr>
          <w:rFonts w:hint="eastAsia" w:ascii="Times New Roman" w:hAnsi="Times New Roman" w:eastAsia="宋体" w:cs="Times New Roman"/>
          <w:szCs w:val="20"/>
          <w:lang w:val="en-US" w:eastAsia="zh-CN"/>
        </w:rPr>
        <w:t xml:space="preserve">50.0 </w:t>
      </w:r>
      <w:r>
        <w:rPr>
          <w:rFonts w:hint="default" w:ascii="Times New Roman" w:hAnsi="Times New Roman" w:eastAsia="宋体" w:cs="Times New Roman"/>
          <w:szCs w:val="20"/>
          <w:lang w:val="en-US" w:eastAsia="zh-CN"/>
        </w:rPr>
        <w:t>μ</w:t>
      </w:r>
      <w:r>
        <w:rPr>
          <w:rFonts w:hint="default" w:ascii="Times New Roman" w:hAnsi="Times New Roman" w:eastAsia="宋体" w:cs="Times New Roman"/>
          <w:szCs w:val="20"/>
        </w:rPr>
        <w:t>L</w:t>
      </w:r>
      <w:r>
        <w:rPr>
          <w:rFonts w:hint="eastAsia" w:ascii="宋体" w:hAnsi="宋体" w:eastAsia="宋体" w:cs="宋体"/>
          <w:szCs w:val="20"/>
        </w:rPr>
        <w:t xml:space="preserve">时，本方法的检出限为 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u w:val="none"/>
          <w:vertAlign w:val="baseline"/>
          <w:lang w:val="en-US" w:eastAsia="zh-CN"/>
        </w:rPr>
        <w:t>0.054</w:t>
      </w:r>
      <w:r>
        <w:rPr>
          <w:rFonts w:hint="eastAsia" w:ascii="宋体" w:hAnsi="宋体" w:eastAsia="宋体" w:cs="宋体"/>
          <w:szCs w:val="2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Cs w:val="20"/>
          <w:lang w:val="en-US" w:eastAsia="zh-CN"/>
        </w:rPr>
        <w:t>μ</w:t>
      </w:r>
      <w:r>
        <w:rPr>
          <w:rFonts w:hint="default" w:ascii="Times New Roman" w:hAnsi="Times New Roman" w:eastAsia="宋体" w:cs="Times New Roman"/>
          <w:szCs w:val="20"/>
        </w:rPr>
        <w:t>g/L</w:t>
      </w:r>
      <w:r>
        <w:rPr>
          <w:rFonts w:hint="eastAsia" w:ascii="宋体" w:hAnsi="宋体" w:eastAsia="宋体" w:cs="宋体"/>
          <w:szCs w:val="20"/>
        </w:rPr>
        <w:t>，测定下限为</w:t>
      </w:r>
      <w:r>
        <w:rPr>
          <w:rFonts w:hint="default" w:ascii="Times New Roman" w:hAnsi="Times New Roman" w:eastAsia="宋体" w:cs="Times New Roman"/>
          <w:b w:val="0"/>
          <w:bCs w:val="0"/>
          <w:sz w:val="21"/>
          <w:szCs w:val="21"/>
          <w:u w:val="none"/>
          <w:vertAlign w:val="baseline"/>
          <w:lang w:val="en-US" w:eastAsia="zh-CN"/>
        </w:rPr>
        <w:t>0.216</w:t>
      </w:r>
      <w:r>
        <w:rPr>
          <w:rFonts w:hint="eastAsia" w:ascii="Times New Roman" w:hAnsi="Times New Roman" w:eastAsia="宋体" w:cs="Times New Roman"/>
          <w:b w:val="0"/>
          <w:bCs w:val="0"/>
          <w:sz w:val="21"/>
          <w:szCs w:val="21"/>
          <w:u w:val="non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Cs w:val="20"/>
          <w:lang w:val="en-US" w:eastAsia="zh-CN"/>
        </w:rPr>
        <w:t>μ</w:t>
      </w:r>
      <w:r>
        <w:rPr>
          <w:rFonts w:hint="default" w:ascii="Times New Roman" w:hAnsi="Times New Roman" w:eastAsia="宋体" w:cs="Times New Roman"/>
          <w:szCs w:val="20"/>
        </w:rPr>
        <w:t>g/L</w:t>
      </w:r>
      <w:r>
        <w:rPr>
          <w:rFonts w:hint="eastAsia" w:ascii="宋体" w:hAnsi="宋体" w:eastAsia="宋体" w:cs="宋体"/>
          <w:szCs w:val="20"/>
        </w:rPr>
        <w:t>。</w:t>
      </w:r>
    </w:p>
    <w:p>
      <w:pPr>
        <w:pStyle w:val="14"/>
        <w:numPr>
          <w:ilvl w:val="0"/>
          <w:numId w:val="0"/>
        </w:numPr>
        <w:spacing w:before="312" w:beforeLines="0" w:after="312" w:afterLines="0"/>
        <w:outlineLvl w:val="0"/>
        <w:rPr>
          <w:rFonts w:hint="eastAsia" w:ascii="宋体" w:hAnsi="宋体" w:eastAsia="宋体" w:cs="宋体"/>
          <w:highlight w:val="none"/>
        </w:rPr>
      </w:pPr>
      <w:bookmarkStart w:id="7" w:name="_Toc22967"/>
      <w:bookmarkStart w:id="8" w:name="_Toc8297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  规范性引用文件</w:t>
      </w:r>
      <w:bookmarkEnd w:id="7"/>
      <w:bookmarkEnd w:id="8"/>
      <w:bookmarkStart w:id="9" w:name="OLE_LINK3"/>
      <w:bookmarkStart w:id="10" w:name="OLE_LINK5"/>
    </w:p>
    <w:p>
      <w:pPr>
        <w:pStyle w:val="1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GB/T 6682 分析实验室用水规格和试验方法</w:t>
      </w:r>
    </w:p>
    <w:p>
      <w:pPr>
        <w:pStyle w:val="1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HJ/T 91 地表水和污水监测技术规范</w:t>
      </w:r>
      <w:bookmarkEnd w:id="9"/>
      <w:bookmarkEnd w:id="10"/>
    </w:p>
    <w:p>
      <w:pPr>
        <w:pStyle w:val="14"/>
        <w:numPr>
          <w:ilvl w:val="0"/>
          <w:numId w:val="0"/>
        </w:numPr>
        <w:spacing w:before="312" w:beforeLines="0" w:after="312" w:afterLines="0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11" w:name="_Toc25248"/>
      <w:bookmarkStart w:id="12" w:name="_Toc22762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  方法原理</w:t>
      </w:r>
      <w:bookmarkEnd w:id="11"/>
      <w:bookmarkEnd w:id="12"/>
    </w:p>
    <w:p>
      <w:pPr>
        <w:pStyle w:val="1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使用拟柱孢藻毒素</w:t>
      </w:r>
      <w:r>
        <w:rPr>
          <w:rFonts w:hint="eastAsia" w:ascii="宋体" w:hAnsi="宋体" w:eastAsia="宋体" w:cs="宋体"/>
          <w:lang w:val="sv-SE"/>
        </w:rPr>
        <w:t>检测试剂盒</w:t>
      </w:r>
      <w:r>
        <w:rPr>
          <w:rFonts w:hint="eastAsia" w:ascii="宋体" w:hAnsi="宋体" w:eastAsia="宋体" w:cs="宋体"/>
          <w:lang w:val="en-US" w:eastAsia="zh-CN"/>
        </w:rPr>
        <w:t>检测，</w:t>
      </w:r>
      <w:r>
        <w:rPr>
          <w:rFonts w:hint="eastAsia" w:ascii="宋体" w:hAnsi="宋体" w:eastAsia="宋体" w:cs="宋体"/>
          <w:lang w:val="sv-SE"/>
        </w:rPr>
        <w:t>原理是直接竞争酶联免疫反应</w:t>
      </w:r>
      <w:r>
        <w:rPr>
          <w:rFonts w:hint="eastAsia" w:ascii="宋体" w:hAnsi="宋体" w:eastAsia="宋体" w:cs="宋体"/>
          <w:lang w:val="sv-SE" w:eastAsia="zh-CN"/>
        </w:rPr>
        <w:t>，</w:t>
      </w:r>
      <w:r>
        <w:rPr>
          <w:rFonts w:hint="eastAsia" w:ascii="宋体" w:hAnsi="宋体" w:eastAsia="宋体" w:cs="宋体"/>
          <w:lang w:val="sv-SE"/>
        </w:rPr>
        <w:t>通过一种特异性抗体来识别检测</w:t>
      </w:r>
      <w:r>
        <w:rPr>
          <w:rFonts w:hint="eastAsia" w:ascii="宋体" w:hAnsi="宋体" w:eastAsia="宋体" w:cs="宋体"/>
          <w:lang w:val="en-US" w:eastAsia="zh-CN"/>
        </w:rPr>
        <w:t>拟柱孢藻</w:t>
      </w:r>
      <w:r>
        <w:rPr>
          <w:rFonts w:hint="eastAsia" w:ascii="宋体" w:hAnsi="宋体" w:eastAsia="宋体" w:cs="宋体"/>
        </w:rPr>
        <w:t>毒素</w:t>
      </w:r>
      <w:r>
        <w:rPr>
          <w:rFonts w:hint="eastAsia" w:ascii="宋体" w:hAnsi="宋体" w:eastAsia="宋体" w:cs="宋体"/>
          <w:lang w:val="zh-CN"/>
        </w:rPr>
        <w:t>，当样品中还有</w:t>
      </w:r>
      <w:r>
        <w:rPr>
          <w:rFonts w:hint="eastAsia" w:ascii="宋体" w:hAnsi="宋体" w:eastAsia="宋体" w:cs="宋体"/>
          <w:lang w:val="en-US" w:eastAsia="zh-CN"/>
        </w:rPr>
        <w:t>拟柱孢藻</w:t>
      </w:r>
      <w:r>
        <w:rPr>
          <w:rFonts w:hint="eastAsia" w:ascii="宋体" w:hAnsi="宋体" w:eastAsia="宋体" w:cs="宋体"/>
        </w:rPr>
        <w:t>毒素</w:t>
      </w:r>
      <w:r>
        <w:rPr>
          <w:rFonts w:hint="eastAsia" w:ascii="宋体" w:hAnsi="宋体" w:eastAsia="宋体" w:cs="宋体"/>
          <w:lang w:val="zh-CN"/>
        </w:rPr>
        <w:t>及其类似物时，将会和</w:t>
      </w:r>
      <w:r>
        <w:rPr>
          <w:rFonts w:hint="eastAsia" w:ascii="宋体" w:hAnsi="宋体" w:eastAsia="宋体" w:cs="宋体"/>
          <w:lang w:val="en-US" w:eastAsia="zh-CN"/>
        </w:rPr>
        <w:t>拟柱孢藻</w:t>
      </w:r>
      <w:r>
        <w:rPr>
          <w:rFonts w:hint="eastAsia" w:ascii="宋体" w:hAnsi="宋体" w:eastAsia="宋体" w:cs="宋体"/>
        </w:rPr>
        <w:t>毒素</w:t>
      </w:r>
      <w:r>
        <w:rPr>
          <w:rFonts w:hint="eastAsia" w:ascii="宋体" w:hAnsi="宋体" w:eastAsia="宋体" w:cs="宋体"/>
          <w:lang w:val="zh-CN"/>
        </w:rPr>
        <w:t>-</w:t>
      </w:r>
      <w:r>
        <w:rPr>
          <w:rFonts w:hint="eastAsia" w:ascii="宋体" w:hAnsi="宋体" w:eastAsia="宋体" w:cs="宋体"/>
        </w:rPr>
        <w:t xml:space="preserve"> HRP竞争</w:t>
      </w:r>
      <w:r>
        <w:rPr>
          <w:rFonts w:hint="eastAsia" w:ascii="宋体" w:hAnsi="宋体" w:eastAsia="宋体" w:cs="宋体"/>
          <w:lang w:val="en-US" w:eastAsia="zh-CN"/>
        </w:rPr>
        <w:t>并与</w:t>
      </w:r>
      <w:r>
        <w:rPr>
          <w:rFonts w:hint="eastAsia" w:ascii="宋体" w:hAnsi="宋体" w:eastAsia="宋体" w:cs="宋体"/>
        </w:rPr>
        <w:t>溶液中的</w:t>
      </w:r>
      <w:r>
        <w:rPr>
          <w:rFonts w:hint="eastAsia" w:ascii="宋体" w:hAnsi="宋体" w:eastAsia="宋体" w:cs="宋体"/>
          <w:lang w:val="en-US" w:eastAsia="zh-CN"/>
        </w:rPr>
        <w:t>拟柱孢藻</w:t>
      </w:r>
      <w:r>
        <w:rPr>
          <w:rFonts w:hint="eastAsia" w:ascii="宋体" w:hAnsi="宋体" w:eastAsia="宋体" w:cs="宋体"/>
        </w:rPr>
        <w:t>毒素</w:t>
      </w:r>
      <w:r>
        <w:rPr>
          <w:rFonts w:hint="eastAsia" w:ascii="宋体" w:hAnsi="宋体" w:eastAsia="宋体" w:cs="宋体"/>
          <w:lang w:val="zh-CN"/>
        </w:rPr>
        <w:t>抗体结合。</w:t>
      </w:r>
      <w:r>
        <w:rPr>
          <w:rFonts w:hint="eastAsia" w:ascii="宋体" w:hAnsi="宋体" w:eastAsia="宋体" w:cs="宋体"/>
          <w:lang w:val="en-US" w:eastAsia="zh-CN"/>
        </w:rPr>
        <w:t>拟柱孢藻</w:t>
      </w:r>
      <w:r>
        <w:rPr>
          <w:rFonts w:hint="eastAsia" w:ascii="宋体" w:hAnsi="宋体" w:eastAsia="宋体" w:cs="宋体"/>
        </w:rPr>
        <w:t>毒素</w:t>
      </w:r>
      <w:r>
        <w:rPr>
          <w:rFonts w:hint="eastAsia" w:ascii="宋体" w:hAnsi="宋体" w:eastAsia="宋体" w:cs="宋体"/>
          <w:lang w:val="zh-CN"/>
        </w:rPr>
        <w:t>抗体与包被在微孔板底部的羊抗鼠二抗结合。经过一个洗涤步骤后加入无色底物，产生了一个颜色反应。</w:t>
      </w:r>
      <w:r>
        <w:rPr>
          <w:rFonts w:hint="eastAsia" w:ascii="宋体" w:hAnsi="宋体" w:eastAsia="宋体" w:cs="宋体"/>
        </w:rPr>
        <w:t>加入反应终止液后使颜色由蓝色变为黄色；在450nm波长进行检测，样品中的</w:t>
      </w:r>
      <w:r>
        <w:rPr>
          <w:rFonts w:hint="eastAsia" w:ascii="宋体" w:hAnsi="宋体" w:eastAsia="宋体" w:cs="宋体"/>
          <w:lang w:val="en-US" w:eastAsia="zh-CN"/>
        </w:rPr>
        <w:t>拟柱孢藻</w:t>
      </w:r>
      <w:r>
        <w:rPr>
          <w:rFonts w:hint="eastAsia" w:ascii="宋体" w:hAnsi="宋体" w:eastAsia="宋体" w:cs="宋体"/>
        </w:rPr>
        <w:t>毒素浓度与吸收光强度成反比。</w:t>
      </w:r>
    </w:p>
    <w:p>
      <w:pPr>
        <w:pStyle w:val="14"/>
        <w:numPr>
          <w:ilvl w:val="0"/>
          <w:numId w:val="0"/>
        </w:numPr>
        <w:spacing w:before="312" w:beforeLines="0" w:after="312" w:afterLines="0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13" w:name="_Toc18247"/>
      <w:bookmarkStart w:id="14" w:name="_Toc20058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  试剂与材料</w:t>
      </w:r>
      <w:bookmarkEnd w:id="13"/>
      <w:bookmarkEnd w:id="14"/>
    </w:p>
    <w:p>
      <w:pPr>
        <w:pStyle w:val="19"/>
        <w:numPr>
          <w:ilvl w:val="2"/>
          <w:numId w:val="0"/>
        </w:numPr>
        <w:spacing w:before="156" w:beforeLines="0" w:after="156" w:afterLines="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除非另有说明，分析时均使用符合国家标准的分析纯试剂，实验用水为符合GB/T 6682标准的一级水。</w:t>
      </w:r>
    </w:p>
    <w:p>
      <w:pPr>
        <w:pStyle w:val="1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4.1</w:t>
      </w:r>
      <w:r>
        <w:rPr>
          <w:rFonts w:hint="eastAsia" w:hAnsi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2"/>
          <w:lang w:val="en-US" w:eastAsia="zh-CN"/>
        </w:rPr>
        <w:t>Abraxis拟柱孢藻毒素检测试剂盒。</w:t>
      </w:r>
    </w:p>
    <w:p>
      <w:pPr>
        <w:pStyle w:val="12"/>
        <w:ind w:left="0" w:leftChars="0" w:firstLine="0" w:firstLineChars="0"/>
        <w:rPr>
          <w:rFonts w:hint="eastAsia" w:ascii="宋体" w:hAnsi="宋体" w:eastAsia="宋体" w:cs="宋体"/>
        </w:rPr>
      </w:pPr>
    </w:p>
    <w:p>
      <w:pPr>
        <w:pStyle w:val="14"/>
        <w:numPr>
          <w:ilvl w:val="0"/>
          <w:numId w:val="0"/>
        </w:numPr>
        <w:spacing w:before="312" w:beforeLines="0" w:after="312" w:afterLines="0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15" w:name="_Toc18335"/>
      <w:bookmarkStart w:id="16" w:name="_Toc22879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  仪器和设备</w:t>
      </w:r>
      <w:bookmarkEnd w:id="15"/>
      <w:bookmarkEnd w:id="16"/>
    </w:p>
    <w:p>
      <w:pPr>
        <w:pStyle w:val="12"/>
        <w:ind w:left="0" w:leftChars="0" w:firstLine="0" w:firstLineChars="0"/>
        <w:rPr>
          <w:rFonts w:hint="eastAsia" w:ascii="宋体" w:hAnsi="宋体" w:eastAsia="宋体" w:cs="宋体"/>
          <w:sz w:val="21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</w:rPr>
        <w:t xml:space="preserve">5.1 </w:t>
      </w:r>
      <w:r>
        <w:rPr>
          <w:rFonts w:hint="eastAsia" w:ascii="宋体" w:hAnsi="宋体" w:eastAsia="宋体" w:cs="宋体"/>
          <w:sz w:val="21"/>
          <w:szCs w:val="22"/>
          <w:lang w:val="en-US" w:eastAsia="zh-CN"/>
        </w:rPr>
        <w:t>酶标仪：具有450 nm波长模块。</w:t>
      </w:r>
    </w:p>
    <w:p>
      <w:pPr>
        <w:pStyle w:val="14"/>
        <w:numPr>
          <w:ilvl w:val="0"/>
          <w:numId w:val="0"/>
        </w:numPr>
        <w:spacing w:before="312" w:beforeLines="0" w:after="312" w:afterLines="0"/>
        <w:outlineLvl w:val="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bookmarkStart w:id="17" w:name="_Toc30298"/>
      <w:bookmarkStart w:id="18" w:name="_Toc24005"/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  样品</w:t>
      </w:r>
      <w:bookmarkEnd w:id="17"/>
      <w:bookmarkEnd w:id="18"/>
    </w:p>
    <w:p>
      <w:pPr>
        <w:pStyle w:val="1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2"/>
          <w:highlight w:val="none"/>
        </w:rPr>
      </w:pPr>
      <w:r>
        <w:rPr>
          <w:rFonts w:hint="eastAsia" w:ascii="宋体" w:hAnsi="宋体" w:eastAsia="宋体" w:cs="宋体"/>
          <w:sz w:val="21"/>
          <w:szCs w:val="22"/>
          <w:highlight w:val="none"/>
        </w:rPr>
        <w:t>6.1  样品的采集</w:t>
      </w:r>
    </w:p>
    <w:p>
      <w:pPr>
        <w:pStyle w:val="12"/>
        <w:ind w:left="0" w:leftChars="0" w:firstLine="420" w:firstLineChars="200"/>
        <w:rPr>
          <w:rFonts w:hint="default" w:ascii="宋体" w:hAnsi="宋体" w:eastAsia="宋体" w:cs="宋体"/>
          <w:sz w:val="21"/>
          <w:szCs w:val="22"/>
          <w:lang w:val="en-US" w:eastAsia="zh-CN"/>
        </w:rPr>
      </w:pPr>
      <w:r>
        <w:rPr>
          <w:rFonts w:hint="default" w:ascii="宋体" w:hAnsi="宋体" w:eastAsia="宋体" w:cs="宋体"/>
          <w:sz w:val="21"/>
          <w:szCs w:val="22"/>
          <w:lang w:val="en-US" w:eastAsia="zh-CN"/>
        </w:rPr>
        <w:t>参考《地表水和污水监测技术规范》（HJ/T 91-2002），</w:t>
      </w:r>
      <w:r>
        <w:rPr>
          <w:rFonts w:hint="eastAsia" w:ascii="宋体" w:hAnsi="宋体" w:eastAsia="宋体" w:cs="宋体"/>
          <w:sz w:val="21"/>
          <w:szCs w:val="22"/>
          <w:lang w:val="en-US" w:eastAsia="zh-CN"/>
        </w:rPr>
        <w:t>为</w:t>
      </w:r>
      <w:r>
        <w:rPr>
          <w:rFonts w:hint="default" w:ascii="宋体" w:hAnsi="宋体" w:eastAsia="宋体" w:cs="宋体"/>
          <w:sz w:val="21"/>
          <w:szCs w:val="22"/>
          <w:lang w:val="en-US" w:eastAsia="zh-CN"/>
        </w:rPr>
        <w:t>确保数据的准确，样品采集</w:t>
      </w:r>
      <w:r>
        <w:rPr>
          <w:rFonts w:hint="eastAsia" w:ascii="宋体" w:hAnsi="宋体" w:eastAsia="宋体" w:cs="宋体"/>
          <w:sz w:val="21"/>
          <w:szCs w:val="22"/>
          <w:lang w:val="en-US" w:eastAsia="zh-CN"/>
        </w:rPr>
        <w:t>建议</w:t>
      </w:r>
      <w:r>
        <w:rPr>
          <w:rFonts w:hint="default" w:ascii="宋体" w:hAnsi="宋体" w:eastAsia="宋体" w:cs="宋体"/>
          <w:sz w:val="21"/>
          <w:szCs w:val="22"/>
          <w:lang w:val="en-US" w:eastAsia="zh-CN"/>
        </w:rPr>
        <w:t>使用玻璃瓶。</w:t>
      </w:r>
    </w:p>
    <w:p>
      <w:pPr>
        <w:pStyle w:val="1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2"/>
          <w:highlight w:val="none"/>
        </w:rPr>
      </w:pPr>
      <w:r>
        <w:rPr>
          <w:rFonts w:hint="eastAsia" w:ascii="宋体" w:hAnsi="宋体" w:eastAsia="宋体" w:cs="宋体"/>
          <w:sz w:val="21"/>
          <w:szCs w:val="22"/>
          <w:highlight w:val="none"/>
        </w:rPr>
        <w:t>6.2  样品的保存</w:t>
      </w:r>
    </w:p>
    <w:p>
      <w:pPr>
        <w:pStyle w:val="12"/>
        <w:ind w:left="0" w:leftChars="0" w:firstLine="420" w:firstLineChars="200"/>
        <w:rPr>
          <w:rFonts w:hint="default" w:ascii="宋体" w:hAnsi="宋体" w:eastAsia="宋体" w:cs="宋体"/>
          <w:sz w:val="21"/>
          <w:szCs w:val="22"/>
          <w:lang w:val="en-US" w:eastAsia="zh-CN"/>
        </w:rPr>
      </w:pPr>
      <w:r>
        <w:rPr>
          <w:rFonts w:hint="default" w:ascii="宋体" w:hAnsi="宋体" w:eastAsia="宋体" w:cs="宋体"/>
          <w:sz w:val="21"/>
          <w:szCs w:val="22"/>
          <w:lang w:val="en-US" w:eastAsia="zh-CN"/>
        </w:rPr>
        <w:t>参考</w:t>
      </w:r>
      <w:r>
        <w:rPr>
          <w:rFonts w:hint="eastAsia" w:ascii="宋体" w:hAnsi="宋体" w:eastAsia="宋体" w:cs="宋体"/>
          <w:sz w:val="21"/>
          <w:szCs w:val="22"/>
          <w:lang w:val="en-US" w:eastAsia="zh-CN"/>
        </w:rPr>
        <w:t>Abraxis拟柱孢藻毒素检测试剂盒样品保存建议</w:t>
      </w:r>
      <w:r>
        <w:rPr>
          <w:rFonts w:hint="default" w:ascii="宋体" w:hAnsi="宋体" w:eastAsia="宋体" w:cs="宋体"/>
          <w:sz w:val="21"/>
          <w:szCs w:val="22"/>
          <w:lang w:val="en-US" w:eastAsia="zh-CN"/>
        </w:rPr>
        <w:t>，地表水样品采集后，在</w:t>
      </w:r>
      <w:r>
        <w:rPr>
          <w:rFonts w:hint="eastAsia" w:ascii="宋体" w:hAnsi="宋体" w:eastAsia="宋体" w:cs="宋体"/>
          <w:sz w:val="21"/>
          <w:szCs w:val="22"/>
          <w:lang w:val="en-US" w:eastAsia="zh-CN"/>
        </w:rPr>
        <w:t>-20</w:t>
      </w:r>
      <w:r>
        <w:rPr>
          <w:rFonts w:hint="default" w:ascii="宋体" w:hAnsi="宋体" w:eastAsia="宋体" w:cs="宋体"/>
          <w:sz w:val="21"/>
          <w:szCs w:val="22"/>
          <w:lang w:val="en-US" w:eastAsia="zh-CN"/>
        </w:rPr>
        <w:t>℃下保存，</w:t>
      </w:r>
      <w:r>
        <w:rPr>
          <w:rFonts w:hint="eastAsia" w:ascii="宋体" w:hAnsi="宋体" w:eastAsia="宋体" w:cs="宋体"/>
          <w:sz w:val="21"/>
          <w:szCs w:val="22"/>
          <w:lang w:val="en-US" w:eastAsia="zh-CN"/>
        </w:rPr>
        <w:t xml:space="preserve">5 </w:t>
      </w:r>
      <w:r>
        <w:rPr>
          <w:rFonts w:hint="default" w:ascii="宋体" w:hAnsi="宋体" w:eastAsia="宋体" w:cs="宋体"/>
          <w:sz w:val="21"/>
          <w:szCs w:val="22"/>
          <w:lang w:val="en-US" w:eastAsia="zh-CN"/>
        </w:rPr>
        <w:t>d内完成分析。</w:t>
      </w:r>
    </w:p>
    <w:p>
      <w:pPr>
        <w:pStyle w:val="1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2"/>
          <w:highlight w:val="none"/>
        </w:rPr>
      </w:pPr>
      <w:r>
        <w:rPr>
          <w:rFonts w:hint="eastAsia" w:ascii="宋体" w:hAnsi="宋体" w:eastAsia="宋体" w:cs="宋体"/>
          <w:sz w:val="21"/>
          <w:szCs w:val="22"/>
          <w:highlight w:val="none"/>
        </w:rPr>
        <w:t>6.3  试样的制备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取地表水样品50 mL，经两次反复冻融处理（建议冷冻温度-20℃，水浴溶解温度37℃</w:t>
      </w:r>
      <w:r>
        <w:rPr>
          <w:rFonts w:hint="eastAsia" w:ascii="宋体" w:hAnsi="宋体" w:cs="宋体"/>
          <w:kern w:val="0"/>
          <w:sz w:val="21"/>
          <w:szCs w:val="22"/>
          <w:lang w:val="en-US" w:eastAsia="zh-CN"/>
        </w:rPr>
        <w:t>）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 xml:space="preserve">，再从中取1 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en-US" w:eastAsia="zh-CN"/>
        </w:rPr>
        <w:t>mL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冻融后的样品，经5000 rpm离心5 min</w:t>
      </w:r>
      <w:r>
        <w:rPr>
          <w:rFonts w:hint="eastAsia" w:ascii="宋体" w:hAnsi="宋体" w:cs="宋体"/>
          <w:kern w:val="0"/>
          <w:sz w:val="21"/>
          <w:szCs w:val="22"/>
          <w:lang w:val="en-US" w:eastAsia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 xml:space="preserve">离心后取50 </w:t>
      </w:r>
      <w:r>
        <w:rPr>
          <w:rFonts w:hint="default" w:ascii="Times New Roman" w:hAnsi="Times New Roman" w:eastAsia="宋体" w:cs="Times New Roman"/>
          <w:kern w:val="0"/>
          <w:sz w:val="21"/>
          <w:szCs w:val="22"/>
          <w:lang w:val="en-US" w:eastAsia="zh-CN"/>
        </w:rPr>
        <w:t>μL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样品直接检测。</w:t>
      </w:r>
    </w:p>
    <w:p>
      <w:pPr>
        <w:pStyle w:val="1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2"/>
        </w:rPr>
      </w:pPr>
      <w:r>
        <w:rPr>
          <w:rFonts w:hint="eastAsia" w:ascii="宋体" w:hAnsi="宋体" w:eastAsia="宋体" w:cs="宋体"/>
          <w:sz w:val="21"/>
          <w:szCs w:val="22"/>
        </w:rPr>
        <w:t>6.4  空白试样的制备</w:t>
      </w:r>
    </w:p>
    <w:p>
      <w:pPr>
        <w:pStyle w:val="17"/>
        <w:ind w:left="0" w:leftChars="0" w:firstLine="0" w:firstLineChars="0"/>
        <w:outlineLvl w:val="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  </w:t>
      </w:r>
      <w:bookmarkStart w:id="19" w:name="_Toc27104"/>
      <w:bookmarkStart w:id="20" w:name="_Toc27345"/>
      <w:r>
        <w:rPr>
          <w:rFonts w:hint="eastAsia" w:ascii="宋体" w:hAnsi="宋体" w:eastAsia="宋体" w:cs="宋体"/>
          <w:color w:val="000000"/>
        </w:rPr>
        <w:t>以实验用水代替样品，按照试样制备（6.3）相同操作步骤，制备空白试样。</w:t>
      </w:r>
      <w:bookmarkEnd w:id="19"/>
      <w:bookmarkEnd w:id="20"/>
    </w:p>
    <w:p>
      <w:pPr>
        <w:pStyle w:val="14"/>
        <w:numPr>
          <w:ilvl w:val="0"/>
          <w:numId w:val="0"/>
        </w:numPr>
        <w:spacing w:before="312" w:beforeLines="0" w:after="312" w:afterLines="0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21" w:name="_Toc7322"/>
      <w:bookmarkStart w:id="22" w:name="_Toc7081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  分析步骤</w:t>
      </w:r>
      <w:bookmarkEnd w:id="21"/>
      <w:bookmarkEnd w:id="22"/>
    </w:p>
    <w:p>
      <w:pPr>
        <w:pStyle w:val="1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2"/>
        </w:rPr>
      </w:pPr>
      <w:r>
        <w:rPr>
          <w:rFonts w:hint="eastAsia" w:ascii="宋体" w:hAnsi="宋体" w:eastAsia="宋体" w:cs="宋体"/>
          <w:sz w:val="21"/>
          <w:szCs w:val="22"/>
        </w:rPr>
        <w:t>7.1  仪器参考条件</w:t>
      </w:r>
    </w:p>
    <w:p>
      <w:pPr>
        <w:pStyle w:val="12"/>
        <w:ind w:left="0" w:leftChars="0" w:firstLine="420" w:firstLineChars="200"/>
        <w:rPr>
          <w:rFonts w:hint="eastAsia" w:ascii="宋体" w:hAnsi="宋体" w:eastAsia="宋体" w:cs="宋体"/>
          <w:color w:val="000000"/>
          <w:sz w:val="21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2"/>
          <w:lang w:val="en-US" w:eastAsia="zh-CN"/>
        </w:rPr>
        <w:t>检测波长450 nm,振荡时间3 s。</w:t>
      </w:r>
    </w:p>
    <w:p>
      <w:pPr>
        <w:pStyle w:val="1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2"/>
        </w:rPr>
      </w:pPr>
      <w:r>
        <w:rPr>
          <w:rFonts w:hint="eastAsia" w:ascii="宋体" w:hAnsi="宋体" w:eastAsia="宋体" w:cs="宋体"/>
          <w:sz w:val="21"/>
          <w:szCs w:val="22"/>
        </w:rPr>
        <w:t>7.2  校准</w:t>
      </w:r>
    </w:p>
    <w:p>
      <w:pPr>
        <w:pStyle w:val="1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2"/>
        </w:rPr>
      </w:pPr>
      <w:r>
        <w:rPr>
          <w:rFonts w:hint="eastAsia" w:ascii="宋体" w:hAnsi="宋体" w:eastAsia="宋体" w:cs="宋体"/>
          <w:sz w:val="21"/>
          <w:szCs w:val="22"/>
        </w:rPr>
        <w:t>7.2.1  校准曲线的绘制</w:t>
      </w:r>
    </w:p>
    <w:p>
      <w:pPr>
        <w:pStyle w:val="12"/>
        <w:ind w:left="0" w:leftChars="0" w:firstLine="420" w:firstLineChars="0"/>
        <w:rPr>
          <w:rFonts w:hint="eastAsia" w:ascii="Times New Roman" w:cs="Times New Roman"/>
          <w:szCs w:val="20"/>
          <w:lang w:eastAsia="zh-CN"/>
        </w:rPr>
      </w:pPr>
      <w:r>
        <w:rPr>
          <w:rFonts w:hint="eastAsia" w:hAnsi="宋体" w:cs="宋体"/>
          <w:color w:val="000000"/>
          <w:sz w:val="21"/>
          <w:szCs w:val="22"/>
          <w:lang w:val="en-US" w:eastAsia="zh-CN"/>
        </w:rPr>
        <w:t>使用试剂盒内的标准品制备</w:t>
      </w:r>
      <w:r>
        <w:rPr>
          <w:rFonts w:hint="eastAsia" w:ascii="宋体" w:hAnsi="宋体" w:eastAsia="宋体" w:cs="宋体"/>
          <w:color w:val="000000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lang w:eastAsia="zh-CN"/>
        </w:rPr>
        <w:t>个浓度点的</w:t>
      </w:r>
      <w:r>
        <w:rPr>
          <w:rFonts w:hint="eastAsia" w:hAnsi="宋体" w:cs="宋体"/>
          <w:color w:val="000000"/>
          <w:sz w:val="21"/>
          <w:szCs w:val="22"/>
          <w:lang w:val="en-US" w:eastAsia="zh-CN"/>
        </w:rPr>
        <w:t>标准系列，</w:t>
      </w:r>
      <w:r>
        <w:rPr>
          <w:rFonts w:hint="eastAsia" w:ascii="宋体" w:hAnsi="宋体" w:eastAsia="宋体" w:cs="宋体"/>
          <w:color w:val="000000"/>
          <w:lang w:eastAsia="zh-CN"/>
        </w:rPr>
        <w:t>标准系列</w:t>
      </w:r>
      <w:r>
        <w:rPr>
          <w:rFonts w:hint="eastAsia" w:hAnsi="宋体" w:cs="宋体"/>
          <w:color w:val="000000"/>
          <w:lang w:val="en-US" w:eastAsia="zh-CN"/>
        </w:rPr>
        <w:t>浓度为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vertAlign w:val="baseline"/>
          <w:lang w:val="en-US" w:eastAsia="zh-CN"/>
        </w:rPr>
        <w:t>0.050</w:t>
      </w:r>
      <w:r>
        <w:rPr>
          <w:rFonts w:hint="eastAsia" w:hAnsi="宋体" w:cs="宋体"/>
          <w:b w:val="0"/>
          <w:bCs w:val="0"/>
          <w:sz w:val="21"/>
          <w:szCs w:val="21"/>
          <w:u w:val="none"/>
          <w:vertAlign w:val="baseli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vertAlign w:val="baseline"/>
          <w:lang w:val="en-US" w:eastAsia="zh-CN"/>
        </w:rPr>
        <w:t>0.100</w:t>
      </w:r>
      <w:r>
        <w:rPr>
          <w:rFonts w:hint="eastAsia" w:hAnsi="宋体" w:cs="宋体"/>
          <w:b w:val="0"/>
          <w:bCs w:val="0"/>
          <w:sz w:val="21"/>
          <w:szCs w:val="21"/>
          <w:u w:val="none"/>
          <w:vertAlign w:val="baseli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vertAlign w:val="baseline"/>
          <w:lang w:val="en-US" w:eastAsia="zh-CN"/>
        </w:rPr>
        <w:t>0.250</w:t>
      </w:r>
      <w:r>
        <w:rPr>
          <w:rFonts w:hint="eastAsia" w:hAnsi="宋体" w:cs="宋体"/>
          <w:b w:val="0"/>
          <w:bCs w:val="0"/>
          <w:sz w:val="21"/>
          <w:szCs w:val="21"/>
          <w:u w:val="none"/>
          <w:vertAlign w:val="baseli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vertAlign w:val="baseline"/>
          <w:lang w:val="en-US" w:eastAsia="zh-CN"/>
        </w:rPr>
        <w:t>0.500</w:t>
      </w:r>
      <w:r>
        <w:rPr>
          <w:rFonts w:hint="eastAsia" w:hAnsi="宋体" w:cs="宋体"/>
          <w:b w:val="0"/>
          <w:bCs w:val="0"/>
          <w:sz w:val="21"/>
          <w:szCs w:val="21"/>
          <w:u w:val="none"/>
          <w:vertAlign w:val="baseline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vertAlign w:val="baseline"/>
          <w:lang w:val="en-US" w:eastAsia="zh-CN"/>
        </w:rPr>
        <w:t>1.00</w:t>
      </w:r>
      <w:r>
        <w:rPr>
          <w:rFonts w:hint="eastAsia" w:hAnsi="宋体" w:cs="宋体"/>
          <w:b w:val="0"/>
          <w:bCs w:val="0"/>
          <w:sz w:val="21"/>
          <w:szCs w:val="21"/>
          <w:u w:val="none"/>
          <w:vertAlign w:val="baseline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vertAlign w:val="baseline"/>
          <w:lang w:val="en-US" w:eastAsia="zh-CN"/>
        </w:rPr>
        <w:t>2.00</w:t>
      </w:r>
      <w:r>
        <w:rPr>
          <w:rFonts w:hint="eastAsia" w:hAnsi="宋体" w:cs="宋体"/>
          <w:b w:val="0"/>
          <w:bCs w:val="0"/>
          <w:sz w:val="21"/>
          <w:szCs w:val="21"/>
          <w:u w:val="none"/>
          <w:vertAlign w:val="baselin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Cs w:val="20"/>
          <w:lang w:val="en-US" w:eastAsia="zh-CN"/>
        </w:rPr>
        <w:t>μ</w:t>
      </w:r>
      <w:r>
        <w:rPr>
          <w:rFonts w:hint="default" w:ascii="Times New Roman" w:hAnsi="Times New Roman" w:eastAsia="宋体" w:cs="Times New Roman"/>
          <w:szCs w:val="20"/>
        </w:rPr>
        <w:t>g/L</w:t>
      </w:r>
      <w:r>
        <w:rPr>
          <w:rFonts w:hint="eastAsia" w:ascii="Times New Roman" w:cs="Times New Roman"/>
          <w:szCs w:val="20"/>
          <w:lang w:eastAsia="zh-CN"/>
        </w:rPr>
        <w:t>。</w:t>
      </w:r>
    </w:p>
    <w:p>
      <w:pPr>
        <w:pStyle w:val="12"/>
        <w:ind w:left="0" w:leftChars="0" w:firstLine="420" w:firstLineChars="0"/>
        <w:rPr>
          <w:rFonts w:hint="eastAsia" w:hAnsi="宋体" w:cs="宋体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</w:rPr>
        <w:t>以标准系列溶液中</w:t>
      </w:r>
      <w:r>
        <w:rPr>
          <w:rFonts w:hint="eastAsia" w:ascii="宋体" w:hAnsi="宋体" w:eastAsia="宋体" w:cs="宋体"/>
          <w:color w:val="000000"/>
          <w:lang w:val="en-US" w:eastAsia="zh-CN"/>
        </w:rPr>
        <w:t>拟柱孢藻毒素</w:t>
      </w:r>
      <w:r>
        <w:rPr>
          <w:rFonts w:hint="default" w:ascii="宋体" w:hAnsi="宋体" w:eastAsia="宋体" w:cs="宋体"/>
          <w:color w:val="000000"/>
        </w:rPr>
        <w:t>浓度</w:t>
      </w:r>
      <w:r>
        <w:rPr>
          <w:rFonts w:hint="eastAsia" w:ascii="宋体" w:hAnsi="宋体" w:eastAsia="宋体" w:cs="宋体"/>
          <w:color w:val="000000"/>
          <w:lang w:val="en-US" w:eastAsia="zh-CN"/>
        </w:rPr>
        <w:t>的对数值</w:t>
      </w:r>
      <w:r>
        <w:rPr>
          <w:rFonts w:hint="default" w:ascii="宋体" w:hAnsi="宋体" w:eastAsia="宋体" w:cs="宋体"/>
          <w:color w:val="000000"/>
        </w:rPr>
        <w:t>为横坐标，以</w:t>
      </w:r>
      <w:r>
        <w:rPr>
          <w:rFonts w:hint="eastAsia" w:ascii="宋体" w:hAnsi="宋体" w:eastAsia="宋体" w:cs="宋体"/>
          <w:color w:val="000000"/>
          <w:lang w:val="en-US" w:eastAsia="zh-CN"/>
        </w:rPr>
        <w:t>仪器读取的吸光度值与空白浓度下的吸光度值的比值</w:t>
      </w:r>
      <w:r>
        <w:rPr>
          <w:rFonts w:hint="eastAsia" w:hAnsi="宋体" w:cs="宋体"/>
          <w:color w:val="000000"/>
          <w:lang w:val="en-US" w:eastAsia="zh-CN"/>
        </w:rPr>
        <w:t>百分比</w:t>
      </w:r>
      <w:r>
        <w:rPr>
          <w:rFonts w:hint="default" w:ascii="宋体" w:hAnsi="宋体" w:eastAsia="宋体" w:cs="宋体"/>
          <w:color w:val="000000"/>
        </w:rPr>
        <w:t>为纵坐标，建立校准曲线</w:t>
      </w:r>
      <w:r>
        <w:rPr>
          <w:rFonts w:hint="eastAsia" w:hAnsi="宋体" w:cs="宋体"/>
          <w:color w:val="000000"/>
          <w:lang w:eastAsia="zh-CN"/>
        </w:rPr>
        <w:t>。</w:t>
      </w:r>
    </w:p>
    <w:p>
      <w:pPr>
        <w:pStyle w:val="1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2"/>
        </w:rPr>
      </w:pPr>
      <w:r>
        <w:rPr>
          <w:rFonts w:hint="eastAsia" w:ascii="宋体" w:hAnsi="宋体" w:eastAsia="宋体" w:cs="宋体"/>
          <w:sz w:val="21"/>
          <w:szCs w:val="22"/>
        </w:rPr>
        <w:t>7.3  测定</w:t>
      </w:r>
    </w:p>
    <w:p>
      <w:pPr>
        <w:pStyle w:val="1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2"/>
        </w:rPr>
      </w:pPr>
      <w:r>
        <w:rPr>
          <w:rFonts w:hint="eastAsia" w:ascii="宋体" w:hAnsi="宋体" w:eastAsia="宋体" w:cs="宋体"/>
          <w:sz w:val="21"/>
          <w:szCs w:val="22"/>
        </w:rPr>
        <w:t>7.3.1  试样测定</w:t>
      </w:r>
    </w:p>
    <w:p>
      <w:pPr>
        <w:pStyle w:val="17"/>
        <w:ind w:left="0" w:leftChars="0" w:firstLine="0" w:firstLineChars="0"/>
        <w:rPr>
          <w:rFonts w:hint="eastAsia" w:ascii="宋体" w:hAnsi="宋体" w:eastAsia="宋体" w:cs="宋体"/>
          <w:szCs w:val="20"/>
        </w:rPr>
      </w:pPr>
      <w:r>
        <w:rPr>
          <w:rFonts w:hint="eastAsia" w:ascii="宋体" w:hAnsi="宋体" w:eastAsia="宋体" w:cs="宋体"/>
          <w:szCs w:val="2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Cs w:val="20"/>
        </w:rPr>
        <w:t>取待测样品（6.3），按照与绘制校准曲线相同的仪器分析条件进行测定。</w:t>
      </w:r>
    </w:p>
    <w:p>
      <w:pPr>
        <w:pStyle w:val="1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2"/>
        </w:rPr>
      </w:pPr>
      <w:r>
        <w:rPr>
          <w:rFonts w:hint="eastAsia" w:ascii="宋体" w:hAnsi="宋体" w:eastAsia="宋体" w:cs="宋体"/>
          <w:sz w:val="21"/>
          <w:szCs w:val="22"/>
        </w:rPr>
        <w:t>7.3.2  空白试验</w:t>
      </w:r>
    </w:p>
    <w:p>
      <w:pPr>
        <w:pStyle w:val="17"/>
        <w:ind w:left="0" w:leftChars="0" w:firstLine="420" w:firstLineChars="200"/>
        <w:outlineLvl w:val="0"/>
        <w:rPr>
          <w:rFonts w:hint="eastAsia" w:ascii="宋体" w:hAnsi="宋体" w:eastAsia="宋体" w:cs="宋体"/>
          <w:szCs w:val="20"/>
        </w:rPr>
      </w:pPr>
      <w:bookmarkStart w:id="23" w:name="_Toc28120"/>
      <w:bookmarkStart w:id="24" w:name="_Toc22136"/>
      <w:r>
        <w:rPr>
          <w:rFonts w:hint="eastAsia" w:ascii="宋体" w:hAnsi="宋体" w:eastAsia="宋体" w:cs="宋体"/>
          <w:szCs w:val="20"/>
        </w:rPr>
        <w:t>按照与试样测定（7.3.1）相同的操作步骤进行空白试样（6.4）的测定。</w:t>
      </w:r>
      <w:bookmarkEnd w:id="23"/>
      <w:bookmarkEnd w:id="24"/>
    </w:p>
    <w:p>
      <w:pPr>
        <w:pStyle w:val="14"/>
        <w:numPr>
          <w:ilvl w:val="0"/>
          <w:numId w:val="0"/>
        </w:numPr>
        <w:spacing w:before="312" w:beforeLines="0" w:after="312" w:afterLines="0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25" w:name="_Toc23250"/>
      <w:bookmarkStart w:id="26" w:name="_Toc27947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  结果计算与表示</w:t>
      </w:r>
      <w:bookmarkEnd w:id="25"/>
      <w:bookmarkEnd w:id="26"/>
    </w:p>
    <w:p>
      <w:pPr>
        <w:spacing w:line="360" w:lineRule="auto"/>
        <w:outlineLvl w:val="9"/>
        <w:rPr>
          <w:rFonts w:hint="default" w:ascii="宋体" w:hAnsi="宋体" w:eastAsia="宋体" w:cs="宋体"/>
          <w:kern w:val="0"/>
          <w:sz w:val="21"/>
          <w:szCs w:val="20"/>
        </w:rPr>
      </w:pPr>
      <w:r>
        <w:rPr>
          <w:rFonts w:hint="eastAsia" w:ascii="宋体" w:hAnsi="宋体" w:eastAsia="宋体" w:cs="宋体"/>
          <w:kern w:val="0"/>
          <w:sz w:val="21"/>
          <w:szCs w:val="20"/>
          <w:lang w:val="en-US" w:eastAsia="zh-CN"/>
        </w:rPr>
        <w:t>8.1</w:t>
      </w:r>
      <w:r>
        <w:rPr>
          <w:rFonts w:hint="default" w:ascii="宋体" w:hAnsi="宋体" w:eastAsia="宋体" w:cs="宋体"/>
          <w:kern w:val="0"/>
          <w:sz w:val="21"/>
          <w:szCs w:val="20"/>
        </w:rPr>
        <w:t xml:space="preserve"> 定量分析</w:t>
      </w:r>
    </w:p>
    <w:p>
      <w:pPr>
        <w:spacing w:line="360" w:lineRule="auto"/>
        <w:ind w:firstLine="420" w:firstLineChars="200"/>
        <w:rPr>
          <w:rFonts w:hint="default" w:ascii="宋体" w:hAnsi="宋体" w:eastAsia="宋体" w:cs="宋体"/>
          <w:color w:val="000000"/>
          <w:kern w:val="0"/>
          <w:sz w:val="21"/>
          <w:szCs w:val="22"/>
        </w:rPr>
      </w:pP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样品中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拟柱孢藻毒素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浓度ρ按照公式（1）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和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公式（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2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）进行计算。</w:t>
      </w:r>
    </w:p>
    <w:p>
      <w:pPr>
        <w:pStyle w:val="12"/>
        <w:spacing w:line="360" w:lineRule="auto"/>
        <w:ind w:firstLine="0" w:firstLineChars="0"/>
        <w:jc w:val="center"/>
        <w:rPr>
          <w:rFonts w:hint="default" w:ascii="宋体" w:hAnsi="宋体" w:eastAsia="宋体" w:cs="宋体"/>
          <w:color w:val="000000"/>
          <w:kern w:val="0"/>
          <w:sz w:val="21"/>
          <w:szCs w:val="22"/>
        </w:rPr>
      </w:pP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drawing>
          <wp:inline distT="0" distB="0" distL="114300" distR="114300">
            <wp:extent cx="1006475" cy="497840"/>
            <wp:effectExtent l="0" t="0" r="3175" b="16510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 xml:space="preserve">                    （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1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2"/>
        </w:rPr>
      </w:pP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式中：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x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——样品中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拟柱孢藻毒素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的质量浓度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对数值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2"/>
        </w:rPr>
      </w:pP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 xml:space="preserve">      y——测定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吸光度值与空白标准样品吸光度值比值的百分比（Bi/B0）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2"/>
        </w:rPr>
      </w:pP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 xml:space="preserve">      a——校准曲线方法的斜率；</w:t>
      </w:r>
    </w:p>
    <w:p>
      <w:pPr>
        <w:autoSpaceDE w:val="0"/>
        <w:autoSpaceDN w:val="0"/>
        <w:spacing w:line="360" w:lineRule="auto"/>
        <w:rPr>
          <w:rFonts w:hint="default" w:ascii="宋体" w:hAnsi="宋体" w:eastAsia="宋体" w:cs="宋体"/>
          <w:color w:val="000000"/>
          <w:kern w:val="0"/>
          <w:sz w:val="21"/>
          <w:szCs w:val="22"/>
          <w:lang w:eastAsia="zh-CN"/>
        </w:rPr>
      </w:pP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 xml:space="preserve">      b——校准曲线方法的截距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  <w:lang w:eastAsia="zh-CN"/>
        </w:rPr>
        <w:t>。</w:t>
      </w:r>
    </w:p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drawing>
          <wp:inline distT="0" distB="0" distL="114300" distR="114300">
            <wp:extent cx="721995" cy="311785"/>
            <wp:effectExtent l="0" t="0" r="1905" b="12065"/>
            <wp:docPr id="11" name="图片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 xml:space="preserve">                    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2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）</w:t>
      </w:r>
    </w:p>
    <w:p>
      <w:pPr>
        <w:autoSpaceDE w:val="0"/>
        <w:autoSpaceDN w:val="0"/>
        <w:spacing w:line="360" w:lineRule="auto"/>
        <w:rPr>
          <w:rFonts w:hint="eastAsia" w:ascii="宋体" w:hAnsi="宋体" w:eastAsia="宋体" w:cs="宋体"/>
          <w:color w:val="000000"/>
          <w:kern w:val="0"/>
          <w:sz w:val="21"/>
          <w:szCs w:val="22"/>
          <w:lang w:eastAsia="zh-CN"/>
        </w:rPr>
      </w:pP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式中：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ρ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——样品中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拟柱孢藻毒素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的质量浓度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eastAsia="zh-CN"/>
        </w:rPr>
        <w:t>；</w:t>
      </w:r>
    </w:p>
    <w:p>
      <w:pPr>
        <w:autoSpaceDE w:val="0"/>
        <w:autoSpaceDN w:val="0"/>
        <w:spacing w:line="360" w:lineRule="auto"/>
        <w:rPr>
          <w:rFonts w:hint="default" w:ascii="宋体" w:hAnsi="宋体" w:eastAsia="宋体" w:cs="宋体"/>
          <w:color w:val="000000"/>
          <w:kern w:val="0"/>
          <w:sz w:val="21"/>
          <w:szCs w:val="2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 xml:space="preserve">      x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——样品中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拟柱孢藻毒素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的质量浓度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对数值。</w:t>
      </w:r>
    </w:p>
    <w:p>
      <w:pPr>
        <w:spacing w:line="360" w:lineRule="auto"/>
        <w:outlineLvl w:val="9"/>
        <w:rPr>
          <w:rFonts w:hint="default" w:ascii="宋体" w:hAnsi="宋体" w:eastAsia="宋体" w:cs="宋体"/>
          <w:color w:val="000000"/>
          <w:kern w:val="0"/>
          <w:sz w:val="21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8.2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 xml:space="preserve"> 结果表示</w:t>
      </w:r>
    </w:p>
    <w:p>
      <w:pPr>
        <w:pStyle w:val="12"/>
        <w:spacing w:line="360" w:lineRule="auto"/>
        <w:ind w:firstLine="480"/>
        <w:rPr>
          <w:rFonts w:hint="default" w:ascii="宋体" w:hAnsi="宋体" w:eastAsia="宋体" w:cs="宋体"/>
          <w:color w:val="000000"/>
          <w:kern w:val="0"/>
          <w:sz w:val="21"/>
          <w:szCs w:val="22"/>
        </w:rPr>
      </w:pP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当测定结果＜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1.00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2"/>
          <w:lang w:val="en-US" w:eastAsia="zh-CN"/>
        </w:rPr>
        <w:t>μ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2"/>
        </w:rPr>
        <w:t>g/L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时，保留至小数点后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3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位；当测定结果≥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1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.0</w:t>
      </w:r>
      <w:r>
        <w:rPr>
          <w:rFonts w:hint="eastAsia" w:ascii="宋体" w:hAnsi="宋体" w:eastAsia="宋体" w:cs="宋体"/>
          <w:color w:val="000000"/>
          <w:kern w:val="0"/>
          <w:sz w:val="21"/>
          <w:szCs w:val="22"/>
          <w:lang w:val="en-US" w:eastAsia="zh-CN"/>
        </w:rPr>
        <w:t>0</w:t>
      </w:r>
      <w:r>
        <w:rPr>
          <w:rFonts w:hint="eastAsia" w:hAnsi="宋体" w:cs="宋体"/>
          <w:color w:val="000000"/>
          <w:kern w:val="0"/>
          <w:sz w:val="21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2"/>
          <w:lang w:val="en-US" w:eastAsia="zh-CN"/>
        </w:rPr>
        <w:t>μ</w:t>
      </w:r>
      <w:r>
        <w:rPr>
          <w:rFonts w:hint="default" w:ascii="Times New Roman" w:hAnsi="Times New Roman" w:eastAsia="宋体" w:cs="Times New Roman"/>
          <w:color w:val="000000"/>
          <w:kern w:val="0"/>
          <w:sz w:val="21"/>
          <w:szCs w:val="22"/>
        </w:rPr>
        <w:t>g/L</w:t>
      </w:r>
      <w:r>
        <w:rPr>
          <w:rFonts w:hint="default" w:ascii="宋体" w:hAnsi="宋体" w:eastAsia="宋体" w:cs="宋体"/>
          <w:color w:val="000000"/>
          <w:kern w:val="0"/>
          <w:sz w:val="21"/>
          <w:szCs w:val="22"/>
        </w:rPr>
        <w:t>时，保留3位有效数字。</w:t>
      </w:r>
    </w:p>
    <w:p>
      <w:pPr>
        <w:pStyle w:val="14"/>
        <w:numPr>
          <w:ilvl w:val="0"/>
          <w:numId w:val="0"/>
        </w:numPr>
        <w:spacing w:before="312" w:beforeLines="0" w:after="312" w:afterLines="0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27" w:name="_Toc27870"/>
      <w:bookmarkStart w:id="28" w:name="_Toc29763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  精密度和准确度</w:t>
      </w:r>
      <w:bookmarkEnd w:id="27"/>
      <w:bookmarkEnd w:id="28"/>
    </w:p>
    <w:p>
      <w:pPr>
        <w:pStyle w:val="1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2"/>
          <w:lang w:val="en-US" w:eastAsia="zh-CN"/>
        </w:rPr>
        <w:t>9.1  精密度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 xml:space="preserve"> 4家实验室对6种目标物低、中、高三个浓度水平的空白加标样品进行测定。实验室内相对标准偏差分别为</w:t>
      </w:r>
      <w:r>
        <w:rPr>
          <w:rFonts w:hint="eastAsia" w:ascii="宋体" w:hAnsi="宋体" w:cs="宋体"/>
          <w:kern w:val="0"/>
          <w:sz w:val="21"/>
          <w:szCs w:val="22"/>
          <w:lang w:val="en-US" w:eastAsia="zh-CN"/>
        </w:rPr>
        <w:t>4.7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%～</w:t>
      </w:r>
      <w:r>
        <w:rPr>
          <w:rFonts w:hint="eastAsia" w:ascii="宋体" w:hAnsi="宋体" w:cs="宋体"/>
          <w:kern w:val="0"/>
          <w:sz w:val="21"/>
          <w:szCs w:val="22"/>
          <w:lang w:val="en-US" w:eastAsia="zh-CN"/>
        </w:rPr>
        <w:t>11.2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%、</w:t>
      </w:r>
      <w:r>
        <w:rPr>
          <w:rFonts w:hint="eastAsia" w:ascii="宋体" w:hAnsi="宋体" w:cs="宋体"/>
          <w:kern w:val="0"/>
          <w:sz w:val="21"/>
          <w:szCs w:val="22"/>
          <w:lang w:val="en-US" w:eastAsia="zh-CN"/>
        </w:rPr>
        <w:t>3.5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%～</w:t>
      </w:r>
      <w:r>
        <w:rPr>
          <w:rFonts w:hint="eastAsia" w:ascii="宋体" w:hAnsi="宋体" w:cs="宋体"/>
          <w:kern w:val="0"/>
          <w:sz w:val="21"/>
          <w:szCs w:val="22"/>
          <w:lang w:val="en-US" w:eastAsia="zh-CN"/>
        </w:rPr>
        <w:t>10.4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%、</w:t>
      </w:r>
      <w:r>
        <w:rPr>
          <w:rFonts w:hint="eastAsia" w:ascii="宋体" w:hAnsi="宋体" w:cs="宋体"/>
          <w:kern w:val="0"/>
          <w:sz w:val="21"/>
          <w:szCs w:val="22"/>
          <w:lang w:val="en-US" w:eastAsia="zh-CN"/>
        </w:rPr>
        <w:t>3.2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%～6.</w:t>
      </w:r>
      <w:r>
        <w:rPr>
          <w:rFonts w:hint="eastAsia" w:ascii="宋体" w:hAnsi="宋体" w:cs="宋体"/>
          <w:kern w:val="0"/>
          <w:sz w:val="21"/>
          <w:szCs w:val="22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%；实验室间相对标准偏差分别为</w:t>
      </w:r>
      <w:r>
        <w:rPr>
          <w:rFonts w:hint="eastAsia" w:ascii="宋体" w:hAnsi="宋体" w:cs="宋体"/>
          <w:kern w:val="0"/>
          <w:sz w:val="21"/>
          <w:szCs w:val="22"/>
          <w:lang w:val="en-US" w:eastAsia="zh-CN"/>
        </w:rPr>
        <w:t>2.1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%、</w:t>
      </w:r>
      <w:r>
        <w:rPr>
          <w:rFonts w:hint="eastAsia" w:ascii="宋体" w:hAnsi="宋体" w:cs="宋体"/>
          <w:kern w:val="0"/>
          <w:sz w:val="21"/>
          <w:szCs w:val="22"/>
          <w:lang w:val="en-US" w:eastAsia="zh-CN"/>
        </w:rPr>
        <w:t>3.6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%、</w:t>
      </w:r>
      <w:r>
        <w:rPr>
          <w:rFonts w:hint="eastAsia" w:ascii="宋体" w:hAnsi="宋体" w:cs="宋体"/>
          <w:kern w:val="0"/>
          <w:sz w:val="21"/>
          <w:szCs w:val="22"/>
          <w:lang w:val="en-US" w:eastAsia="zh-CN"/>
        </w:rPr>
        <w:t>1.0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%。</w:t>
      </w:r>
    </w:p>
    <w:p>
      <w:pPr>
        <w:pStyle w:val="1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2"/>
          <w:lang w:val="en-US" w:eastAsia="zh-CN"/>
        </w:rPr>
        <w:t>9.2  准确度</w:t>
      </w:r>
    </w:p>
    <w:p>
      <w:pPr>
        <w:pStyle w:val="17"/>
        <w:spacing w:line="240" w:lineRule="auto"/>
        <w:ind w:left="0" w:leftChars="0" w:firstLine="420" w:firstLineChars="0"/>
        <w:rPr>
          <w:rFonts w:hint="eastAsia" w:hAnsi="宋体" w:cs="宋体"/>
          <w:kern w:val="0"/>
          <w:sz w:val="21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4家实验室对地表水样品进行低、中</w:t>
      </w:r>
      <w:r>
        <w:rPr>
          <w:rFonts w:hint="eastAsia" w:hAnsi="宋体" w:cs="宋体"/>
          <w:kern w:val="0"/>
          <w:sz w:val="21"/>
          <w:szCs w:val="22"/>
          <w:lang w:val="en-US" w:eastAsia="zh-CN"/>
        </w:rPr>
        <w:t>、高三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个浓度水平的加标回收测定。地表水加标回收率范围分别为98.5</w:t>
      </w: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%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～102</w:t>
      </w: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%、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102</w:t>
      </w: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%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～104</w:t>
      </w: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%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、98.0</w:t>
      </w: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%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～103</w:t>
      </w: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%</w:t>
      </w:r>
      <w:r>
        <w:rPr>
          <w:rFonts w:hint="eastAsia" w:hAnsi="宋体" w:cs="宋体"/>
          <w:kern w:val="0"/>
          <w:sz w:val="21"/>
          <w:szCs w:val="22"/>
          <w:lang w:val="en-US" w:eastAsia="zh-CN"/>
        </w:rPr>
        <w:t>。</w:t>
      </w:r>
    </w:p>
    <w:p>
      <w:pPr>
        <w:pStyle w:val="14"/>
        <w:numPr>
          <w:ilvl w:val="0"/>
          <w:numId w:val="0"/>
        </w:numPr>
        <w:spacing w:before="312" w:beforeLines="0" w:after="312" w:afterLines="0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29" w:name="_Toc12373"/>
      <w:bookmarkStart w:id="30" w:name="_Toc9733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  质量保证和质量控制</w:t>
      </w:r>
      <w:bookmarkEnd w:id="29"/>
      <w:bookmarkEnd w:id="30"/>
    </w:p>
    <w:p>
      <w:pPr>
        <w:spacing w:line="360" w:lineRule="auto"/>
        <w:outlineLvl w:val="9"/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10</w:t>
      </w: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.1 空白试验</w:t>
      </w:r>
    </w:p>
    <w:p>
      <w:pPr>
        <w:pStyle w:val="12"/>
        <w:spacing w:line="360" w:lineRule="auto"/>
        <w:ind w:firstLine="480"/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</w:pP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每批样品应至少做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两</w:t>
      </w: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个实验室空白，空白值应低于方法检出限，否则应查明原因。</w:t>
      </w:r>
    </w:p>
    <w:p>
      <w:pPr>
        <w:spacing w:line="360" w:lineRule="auto"/>
        <w:outlineLvl w:val="9"/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10</w:t>
      </w: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 xml:space="preserve">.2 校准曲线 </w:t>
      </w:r>
    </w:p>
    <w:p>
      <w:pPr>
        <w:spacing w:line="360" w:lineRule="auto"/>
        <w:ind w:firstLine="420" w:firstLineChars="200"/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</w:pP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校准曲线的相关系数应≥0.995，否则应重新绘制校准曲线。</w:t>
      </w:r>
    </w:p>
    <w:p>
      <w:pPr>
        <w:spacing w:line="360" w:lineRule="auto"/>
        <w:outlineLvl w:val="9"/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10</w:t>
      </w: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 xml:space="preserve">.3 连续校准 </w:t>
      </w:r>
    </w:p>
    <w:p>
      <w:pPr>
        <w:spacing w:line="360" w:lineRule="auto"/>
        <w:ind w:firstLine="420" w:firstLineChars="200"/>
        <w:outlineLvl w:val="9"/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</w:pP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每20个样品或每批次（少于20个样品/批）应分析一个曲线中间浓度点标准溶液，其测定结果与初始曲线在该点测定浓度的相对偏差应小于20%，否则应查找原因，重新绘制校准曲线。</w:t>
      </w:r>
    </w:p>
    <w:p>
      <w:pPr>
        <w:spacing w:line="360" w:lineRule="auto"/>
        <w:outlineLvl w:val="9"/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</w:pPr>
      <w:bookmarkStart w:id="31" w:name="_Toc31728"/>
      <w:bookmarkStart w:id="32" w:name="_Toc23924"/>
      <w:bookmarkStart w:id="33" w:name="_Toc25031"/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10</w:t>
      </w: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.4 平行样的测定</w:t>
      </w:r>
      <w:bookmarkEnd w:id="31"/>
      <w:bookmarkEnd w:id="32"/>
      <w:bookmarkEnd w:id="33"/>
    </w:p>
    <w:p>
      <w:pPr>
        <w:spacing w:line="360" w:lineRule="auto"/>
        <w:ind w:firstLine="420" w:firstLineChars="200"/>
        <w:outlineLvl w:val="9"/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</w:pP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每批样品应进行至少10%的平行样品（不少于1个）测定。平行样的相对偏差应≤20%。</w:t>
      </w:r>
    </w:p>
    <w:p>
      <w:pPr>
        <w:spacing w:line="360" w:lineRule="auto"/>
        <w:outlineLvl w:val="9"/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</w:pPr>
      <w:bookmarkStart w:id="34" w:name="_Toc6791"/>
      <w:bookmarkStart w:id="35" w:name="_Toc29063"/>
      <w:bookmarkStart w:id="36" w:name="_Toc27354"/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10</w:t>
      </w: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.5 基体加标</w:t>
      </w:r>
      <w:bookmarkEnd w:id="34"/>
      <w:bookmarkEnd w:id="35"/>
      <w:bookmarkEnd w:id="36"/>
    </w:p>
    <w:p>
      <w:pPr>
        <w:spacing w:line="360" w:lineRule="auto"/>
        <w:ind w:firstLine="420" w:firstLineChars="200"/>
        <w:outlineLvl w:val="9"/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</w:pP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每批样品应进行至少10%的基体加标样（不少于1个）测定，加标量为样品含量的0.5～2倍，实际样品加标回收率应在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8</w:t>
      </w: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0%～1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2</w:t>
      </w: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0%以内。</w:t>
      </w:r>
    </w:p>
    <w:p>
      <w:pPr>
        <w:spacing w:line="360" w:lineRule="auto"/>
        <w:outlineLvl w:val="9"/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10</w:t>
      </w:r>
      <w:r>
        <w:rPr>
          <w:rFonts w:hint="default" w:ascii="宋体" w:hAnsi="宋体" w:eastAsia="宋体" w:cs="宋体"/>
          <w:kern w:val="0"/>
          <w:sz w:val="21"/>
          <w:szCs w:val="22"/>
          <w:lang w:val="en-US" w:eastAsia="zh-CN"/>
        </w:rPr>
        <w:t>.</w:t>
      </w: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6 阳性对照质控样品的测定</w:t>
      </w:r>
    </w:p>
    <w:p>
      <w:pPr>
        <w:spacing w:line="360" w:lineRule="auto"/>
        <w:ind w:firstLine="420" w:firstLineChars="200"/>
        <w:outlineLvl w:val="9"/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2"/>
          <w:lang w:val="en-US" w:eastAsia="zh-CN"/>
        </w:rPr>
        <w:t>每批样品应进行1个阳性对照质控样品的测定，阳性对照测定值应在质控浓度范围内。</w:t>
      </w:r>
    </w:p>
    <w:p>
      <w:pPr>
        <w:pStyle w:val="14"/>
        <w:numPr>
          <w:ilvl w:val="0"/>
          <w:numId w:val="0"/>
        </w:numPr>
        <w:spacing w:before="312" w:beforeLines="0" w:after="312" w:afterLines="0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37" w:name="_Toc30959"/>
      <w:bookmarkStart w:id="38" w:name="_Toc13424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  废物处理</w:t>
      </w:r>
      <w:bookmarkEnd w:id="37"/>
      <w:bookmarkEnd w:id="38"/>
    </w:p>
    <w:p>
      <w:pPr>
        <w:pStyle w:val="17"/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1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2"/>
          <w:lang w:val="en-US" w:eastAsia="zh-CN"/>
        </w:rPr>
        <w:t xml:space="preserve">    实验中产生的废物应集中收集，分类保管，并做好相应标识，委托有资质的单位进行处理。</w:t>
      </w:r>
    </w:p>
    <w:p>
      <w:pPr>
        <w:pStyle w:val="17"/>
        <w:spacing w:line="240" w:lineRule="auto"/>
        <w:ind w:left="0" w:leftChars="0" w:firstLine="0" w:firstLineChars="0"/>
        <w:outlineLvl w:val="9"/>
        <w:rPr>
          <w:rFonts w:hint="eastAsia" w:hAnsi="宋体" w:cs="宋体"/>
          <w:kern w:val="0"/>
          <w:sz w:val="21"/>
          <w:szCs w:val="22"/>
          <w:lang w:val="en-US" w:eastAsia="zh-CN"/>
        </w:rPr>
      </w:pPr>
    </w:p>
    <w:p>
      <w:pPr>
        <w:pStyle w:val="12"/>
        <w:spacing w:line="360" w:lineRule="auto"/>
        <w:ind w:left="0" w:leftChars="0" w:firstLine="0" w:firstLineChars="0"/>
        <w:rPr>
          <w:rFonts w:hint="default" w:ascii="宋体" w:hAnsi="宋体" w:eastAsia="宋体" w:cs="宋体"/>
          <w:color w:val="000000"/>
          <w:kern w:val="0"/>
          <w:sz w:val="21"/>
          <w:szCs w:val="22"/>
        </w:rPr>
      </w:pPr>
    </w:p>
    <w:p>
      <w:pPr>
        <w:pStyle w:val="12"/>
        <w:ind w:left="0" w:leftChars="0" w:firstLine="0" w:firstLineChars="0"/>
        <w:rPr>
          <w:rFonts w:hint="eastAsia" w:hAnsi="宋体" w:cs="宋体"/>
          <w:color w:val="000000"/>
          <w:lang w:val="en-US" w:eastAsia="zh-CN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t>T/SATA  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4"/>
      <w:suff w:val="nothing"/>
      <w:lvlText w:val="%1　"/>
      <w:lvlJc w:val="left"/>
      <w:rPr>
        <w:rFonts w:hint="eastAsia" w:ascii="黑体" w:hAnsi="Times New Roman" w:eastAsia="黑体" w:cs="Times New Roman"/>
        <w:b w:val="0"/>
        <w:i w:val="0"/>
        <w:sz w:val="21"/>
        <w:szCs w:val="21"/>
      </w:rPr>
    </w:lvl>
    <w:lvl w:ilvl="1" w:tentative="0">
      <w:start w:val="1"/>
      <w:numFmt w:val="decimal"/>
      <w:pStyle w:val="18"/>
      <w:suff w:val="nothing"/>
      <w:lvlText w:val="%1.%2　"/>
      <w:lvlJc w:val="left"/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9"/>
      <w:suff w:val="nothing"/>
      <w:lvlText w:val="%1.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060"/>
        </w:tabs>
        <w:ind w:left="4678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486"/>
        </w:tabs>
        <w:ind w:left="5386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ZGJkNTg2NDVjNzA4YmY2OTFjMjJjODBiZGVjNzgifQ=="/>
  </w:docVars>
  <w:rsids>
    <w:rsidRoot w:val="00000000"/>
    <w:rsid w:val="1219710D"/>
    <w:rsid w:val="54AD082A"/>
    <w:rsid w:val="67CC60E6"/>
    <w:rsid w:val="69880AF1"/>
    <w:rsid w:val="752D4414"/>
    <w:rsid w:val="7F485CE7"/>
    <w:rsid w:val="7FCA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140" w:after="140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其他发布日期"/>
    <w:basedOn w:val="1"/>
    <w:qFormat/>
    <w:uiPriority w:val="99"/>
    <w:pPr>
      <w:widowControl/>
      <w:jc w:val="left"/>
    </w:pPr>
    <w:rPr>
      <w:rFonts w:eastAsia="黑体"/>
      <w:kern w:val="0"/>
      <w:sz w:val="28"/>
    </w:rPr>
  </w:style>
  <w:style w:type="paragraph" w:customStyle="1" w:styleId="8">
    <w:name w:val="前言、引言标题"/>
    <w:next w:val="1"/>
    <w:qFormat/>
    <w:uiPriority w:val="99"/>
    <w:pPr>
      <w:shd w:val="clear" w:color="FFFFFF" w:fill="FFFFFF"/>
      <w:spacing w:before="640" w:beforeLines="0" w:after="560" w:afterLines="0"/>
      <w:jc w:val="center"/>
      <w:outlineLvl w:val="0"/>
    </w:pPr>
    <w:rPr>
      <w:rFonts w:ascii="黑体" w:hAnsi="Times New Roman" w:eastAsia="黑体" w:cs="Times New Roman"/>
      <w:sz w:val="32"/>
    </w:rPr>
  </w:style>
  <w:style w:type="paragraph" w:customStyle="1" w:styleId="9">
    <w:name w:val="其他标准称谓"/>
    <w:next w:val="1"/>
    <w:qFormat/>
    <w:uiPriority w:val="0"/>
    <w:pPr>
      <w:spacing w:line="240" w:lineRule="atLeast"/>
      <w:jc w:val="distribute"/>
    </w:pPr>
    <w:rPr>
      <w:rFonts w:ascii="黑体" w:hAnsi="宋体" w:eastAsia="黑体" w:cs="Times New Roman"/>
      <w:spacing w:val="-40"/>
      <w:sz w:val="48"/>
      <w:szCs w:val="52"/>
    </w:rPr>
  </w:style>
  <w:style w:type="character" w:customStyle="1" w:styleId="10">
    <w:name w:val="发布"/>
    <w:basedOn w:val="6"/>
    <w:qFormat/>
    <w:uiPriority w:val="99"/>
    <w:rPr>
      <w:rFonts w:ascii="黑体" w:eastAsia="黑体" w:cs="Times New Roman"/>
      <w:spacing w:val="85"/>
      <w:w w:val="100"/>
      <w:position w:val="3"/>
      <w:sz w:val="28"/>
      <w:szCs w:val="28"/>
    </w:rPr>
  </w:style>
  <w:style w:type="paragraph" w:customStyle="1" w:styleId="11">
    <w:name w:val="标准书眉_奇数页"/>
    <w:next w:val="1"/>
    <w:qFormat/>
    <w:uiPriority w:val="99"/>
    <w:pPr>
      <w:tabs>
        <w:tab w:val="center" w:pos="4154"/>
        <w:tab w:val="right" w:pos="8306"/>
      </w:tabs>
      <w:spacing w:after="220" w:afterLines="0"/>
      <w:jc w:val="right"/>
    </w:pPr>
    <w:rPr>
      <w:rFonts w:ascii="黑体" w:hAnsi="Times New Roman" w:eastAsia="黑体" w:cs="Times New Roman"/>
      <w:sz w:val="21"/>
      <w:szCs w:val="21"/>
    </w:rPr>
  </w:style>
  <w:style w:type="paragraph" w:customStyle="1" w:styleId="12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</w:rPr>
  </w:style>
  <w:style w:type="paragraph" w:customStyle="1" w:styleId="13">
    <w:name w:val="目次、标准名称标题"/>
    <w:basedOn w:val="1"/>
    <w:next w:val="12"/>
    <w:qFormat/>
    <w:uiPriority w:val="99"/>
    <w:pPr>
      <w:keepNext/>
      <w:pageBreakBefore/>
      <w:widowControl/>
      <w:shd w:val="clear" w:color="FFFFFF" w:fill="FFFFFF"/>
      <w:spacing w:before="640" w:beforeLines="0" w:after="560" w:afterLines="0" w:line="460" w:lineRule="exact"/>
      <w:jc w:val="center"/>
      <w:outlineLvl w:val="0"/>
    </w:pPr>
    <w:rPr>
      <w:rFonts w:ascii="黑体" w:eastAsia="黑体"/>
      <w:kern w:val="0"/>
      <w:sz w:val="32"/>
    </w:rPr>
  </w:style>
  <w:style w:type="paragraph" w:customStyle="1" w:styleId="14">
    <w:name w:val="章标题"/>
    <w:next w:val="12"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</w:rPr>
  </w:style>
  <w:style w:type="paragraph" w:customStyle="1" w:styleId="15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6">
    <w:name w:val="p18"/>
    <w:basedOn w:val="1"/>
    <w:uiPriority w:val="0"/>
    <w:pPr>
      <w:widowControl/>
      <w:spacing w:before="312" w:beforeLines="0" w:after="312" w:afterLines="0"/>
    </w:pPr>
    <w:rPr>
      <w:rFonts w:ascii="黑体" w:hAnsi="黑体" w:eastAsia="黑体" w:cs="宋体"/>
      <w:kern w:val="0"/>
      <w:szCs w:val="21"/>
    </w:rPr>
  </w:style>
  <w:style w:type="paragraph" w:customStyle="1" w:styleId="17">
    <w:name w:val="一级无"/>
    <w:basedOn w:val="18"/>
    <w:uiPriority w:val="99"/>
    <w:pPr>
      <w:numPr>
        <w:ilvl w:val="1"/>
        <w:numId w:val="0"/>
      </w:numPr>
      <w:spacing w:before="0" w:beforeLines="0" w:after="0" w:afterLines="0"/>
      <w:ind w:left="1134"/>
    </w:pPr>
    <w:rPr>
      <w:rFonts w:ascii="宋体" w:eastAsia="宋体"/>
    </w:rPr>
  </w:style>
  <w:style w:type="paragraph" w:customStyle="1" w:styleId="18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2"/>
    </w:rPr>
  </w:style>
  <w:style w:type="paragraph" w:customStyle="1" w:styleId="19">
    <w:name w:val="二级条标题"/>
    <w:basedOn w:val="18"/>
    <w:next w:val="12"/>
    <w:qFormat/>
    <w:uiPriority w:val="0"/>
    <w:pPr>
      <w:numPr>
        <w:ilvl w:val="2"/>
        <w:numId w:val="1"/>
      </w:numPr>
      <w:spacing w:before="156" w:beforeLines="50" w:after="156" w:afterLines="50"/>
      <w:outlineLvl w:val="3"/>
    </w:pPr>
  </w:style>
  <w:style w:type="paragraph" w:customStyle="1" w:styleId="20">
    <w:name w:val="WPSOffice手动目录 1"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1958</Words>
  <Characters>2243</Characters>
  <Lines>0</Lines>
  <Paragraphs>0</Paragraphs>
  <TotalTime>3</TotalTime>
  <ScaleCrop>false</ScaleCrop>
  <LinksUpToDate>false</LinksUpToDate>
  <CharactersWithSpaces>2495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2023-08-19T12:11:00Z</dcterms:created>
  <dc:creator>lu</dc:creator>
  <cp:lastModifiedBy>nychan倪芊</cp:lastModifiedBy>
  <dcterms:modified xsi:type="dcterms:W3CDTF">2023-09-04T09:07:45Z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1764CBE2FAE0467395F4EB1C4FC5282A_12</vt:lpwstr>
  </property>
</Properties>
</file>